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CB7" w:rsidRDefault="00830CB7" w:rsidP="00830CB7">
      <w:pPr>
        <w:rPr>
          <w:rFonts w:ascii="Arial" w:hAnsi="Arial" w:cs="Arial"/>
          <w:b/>
        </w:rPr>
      </w:pPr>
    </w:p>
    <w:p w:rsidR="00830CB7" w:rsidRDefault="00830CB7" w:rsidP="00830CB7">
      <w:pPr>
        <w:rPr>
          <w:rFonts w:ascii="Arial" w:hAnsi="Arial" w:cs="Arial"/>
          <w:b/>
        </w:rPr>
      </w:pPr>
    </w:p>
    <w:tbl>
      <w:tblPr>
        <w:tblpPr w:leftFromText="180" w:rightFromText="180" w:horzAnchor="margin" w:tblpXSpec="right" w:tblpY="1845"/>
        <w:tblW w:w="0" w:type="auto"/>
        <w:tblBorders>
          <w:top w:val="single" w:sz="18" w:space="0" w:color="0070C0"/>
          <w:left w:val="single" w:sz="18" w:space="0" w:color="0070C0"/>
          <w:bottom w:val="single" w:sz="18" w:space="0" w:color="0070C0"/>
          <w:right w:val="single" w:sz="18" w:space="0" w:color="0070C0"/>
        </w:tblBorders>
        <w:tblLook w:val="01E0"/>
      </w:tblPr>
      <w:tblGrid>
        <w:gridCol w:w="4479"/>
      </w:tblGrid>
      <w:tr w:rsidR="00830CB7" w:rsidRPr="00DA30C6">
        <w:tc>
          <w:tcPr>
            <w:tcW w:w="4479" w:type="dxa"/>
            <w:shd w:val="clear" w:color="auto" w:fill="0070C0"/>
          </w:tcPr>
          <w:p w:rsidR="00830CB7" w:rsidRPr="00DA30C6" w:rsidRDefault="00830CB7" w:rsidP="00830CB7">
            <w:pPr>
              <w:rPr>
                <w:rFonts w:ascii="Arial" w:hAnsi="Arial" w:cs="Arial"/>
                <w:b/>
                <w:bCs/>
                <w:color w:val="FFFFFF"/>
                <w:sz w:val="32"/>
                <w:szCs w:val="32"/>
              </w:rPr>
            </w:pPr>
          </w:p>
          <w:p w:rsidR="00830CB7" w:rsidRPr="00DA30C6" w:rsidRDefault="00830CB7" w:rsidP="00830CB7">
            <w:pPr>
              <w:rPr>
                <w:rFonts w:ascii="Arial" w:hAnsi="Arial" w:cs="Arial"/>
                <w:b/>
                <w:bCs/>
                <w:color w:val="FFFFFF"/>
                <w:sz w:val="32"/>
                <w:szCs w:val="32"/>
              </w:rPr>
            </w:pPr>
          </w:p>
          <w:p w:rsidR="00830CB7" w:rsidRPr="00DA30C6" w:rsidRDefault="00830CB7" w:rsidP="00830CB7">
            <w:pPr>
              <w:rPr>
                <w:rFonts w:ascii="Arial" w:hAnsi="Arial" w:cs="Arial"/>
                <w:b/>
                <w:bCs/>
                <w:color w:val="FFFFFF"/>
                <w:sz w:val="32"/>
                <w:szCs w:val="32"/>
              </w:rPr>
            </w:pPr>
          </w:p>
          <w:p w:rsidR="00830CB7" w:rsidRPr="00DA30C6" w:rsidRDefault="00830CB7" w:rsidP="00830CB7">
            <w:pPr>
              <w:rPr>
                <w:rFonts w:ascii="Arial" w:hAnsi="Arial" w:cs="Arial"/>
                <w:b/>
                <w:bCs/>
                <w:color w:val="FFFFFF"/>
                <w:sz w:val="32"/>
                <w:szCs w:val="32"/>
              </w:rPr>
            </w:pPr>
          </w:p>
          <w:p w:rsidR="00830CB7" w:rsidRPr="00DA30C6" w:rsidRDefault="00830CB7" w:rsidP="00830CB7">
            <w:pPr>
              <w:rPr>
                <w:rFonts w:ascii="Arial" w:hAnsi="Arial" w:cs="Arial"/>
                <w:b/>
                <w:bCs/>
                <w:color w:val="FFFFFF"/>
                <w:sz w:val="32"/>
                <w:szCs w:val="32"/>
              </w:rPr>
            </w:pPr>
          </w:p>
          <w:p w:rsidR="00830CB7" w:rsidRPr="00DA30C6" w:rsidRDefault="00830CB7" w:rsidP="00830CB7">
            <w:pPr>
              <w:rPr>
                <w:rFonts w:ascii="Arial" w:hAnsi="Arial" w:cs="Arial"/>
                <w:b/>
                <w:bCs/>
                <w:color w:val="FFFFFF"/>
                <w:sz w:val="40"/>
                <w:szCs w:val="40"/>
              </w:rPr>
            </w:pPr>
            <w:r w:rsidRPr="00DA30C6">
              <w:rPr>
                <w:rFonts w:ascii="Arial" w:hAnsi="Arial" w:cs="Arial"/>
                <w:b/>
                <w:bCs/>
                <w:color w:val="FFFFFF"/>
                <w:sz w:val="40"/>
                <w:szCs w:val="40"/>
              </w:rPr>
              <w:t>[Provider name]</w:t>
            </w:r>
          </w:p>
          <w:p w:rsidR="00830CB7" w:rsidRPr="00DA30C6" w:rsidRDefault="00830CB7" w:rsidP="00830CB7">
            <w:pPr>
              <w:rPr>
                <w:rFonts w:ascii="Arial" w:hAnsi="Arial" w:cs="Arial"/>
                <w:b/>
                <w:bCs/>
                <w:color w:val="FFFFFF"/>
                <w:sz w:val="32"/>
                <w:szCs w:val="32"/>
              </w:rPr>
            </w:pPr>
          </w:p>
          <w:p w:rsidR="00830CB7" w:rsidRPr="00DA30C6" w:rsidRDefault="00830CB7" w:rsidP="00830CB7">
            <w:pPr>
              <w:rPr>
                <w:rFonts w:ascii="Arial" w:hAnsi="Arial" w:cs="Arial"/>
                <w:b/>
                <w:bCs/>
                <w:color w:val="FFFFFF"/>
                <w:sz w:val="32"/>
                <w:szCs w:val="32"/>
              </w:rPr>
            </w:pPr>
          </w:p>
          <w:p w:rsidR="00830CB7" w:rsidRPr="00DA30C6" w:rsidRDefault="00830CB7" w:rsidP="00830CB7">
            <w:pPr>
              <w:rPr>
                <w:rFonts w:ascii="Arial" w:hAnsi="Arial" w:cs="Arial"/>
                <w:b/>
                <w:bCs/>
                <w:color w:val="FFFFFF"/>
                <w:sz w:val="32"/>
                <w:szCs w:val="32"/>
              </w:rPr>
            </w:pPr>
          </w:p>
          <w:p w:rsidR="00830CB7" w:rsidRPr="00DA30C6" w:rsidRDefault="00830CB7" w:rsidP="00830CB7">
            <w:pPr>
              <w:rPr>
                <w:rFonts w:ascii="Arial" w:hAnsi="Arial" w:cs="Arial"/>
                <w:b/>
                <w:bCs/>
                <w:color w:val="FFFFFF"/>
                <w:sz w:val="40"/>
                <w:szCs w:val="40"/>
              </w:rPr>
            </w:pPr>
            <w:r w:rsidRPr="00DA30C6">
              <w:rPr>
                <w:rFonts w:ascii="Arial" w:hAnsi="Arial" w:cs="Arial"/>
                <w:b/>
                <w:bCs/>
                <w:color w:val="FFFFFF"/>
                <w:sz w:val="40"/>
              </w:rPr>
              <w:t xml:space="preserve">Example Business Case: to establish </w:t>
            </w:r>
            <w:r w:rsidR="00741E67">
              <w:rPr>
                <w:rFonts w:ascii="Arial" w:hAnsi="Arial" w:cs="Arial"/>
                <w:b/>
                <w:bCs/>
                <w:color w:val="FFFFFF"/>
                <w:sz w:val="40"/>
              </w:rPr>
              <w:t xml:space="preserve">a Physiotherapy Low Back Pain </w:t>
            </w:r>
            <w:r w:rsidR="00DA5412">
              <w:rPr>
                <w:rFonts w:ascii="Arial" w:hAnsi="Arial" w:cs="Arial"/>
                <w:b/>
                <w:bCs/>
                <w:color w:val="FFFFFF"/>
                <w:sz w:val="40"/>
              </w:rPr>
              <w:t>Pathway</w:t>
            </w:r>
          </w:p>
          <w:p w:rsidR="00830CB7" w:rsidRPr="00DA30C6" w:rsidRDefault="00830CB7" w:rsidP="00830CB7">
            <w:pPr>
              <w:rPr>
                <w:rFonts w:ascii="Arial" w:hAnsi="Arial" w:cs="Arial"/>
                <w:b/>
                <w:bCs/>
                <w:color w:val="FFFFFF"/>
                <w:sz w:val="36"/>
                <w:szCs w:val="36"/>
              </w:rPr>
            </w:pPr>
          </w:p>
          <w:p w:rsidR="00830CB7" w:rsidRPr="00DA30C6" w:rsidRDefault="00830CB7" w:rsidP="00830CB7">
            <w:pPr>
              <w:rPr>
                <w:rFonts w:ascii="Arial" w:hAnsi="Arial" w:cs="Arial"/>
                <w:b/>
                <w:bCs/>
                <w:color w:val="FFFFFF"/>
                <w:sz w:val="36"/>
                <w:szCs w:val="36"/>
              </w:rPr>
            </w:pPr>
            <w:r w:rsidRPr="00DA30C6">
              <w:rPr>
                <w:rFonts w:ascii="Arial" w:hAnsi="Arial" w:cs="Arial"/>
                <w:b/>
                <w:bCs/>
                <w:color w:val="FFFFFF"/>
                <w:sz w:val="36"/>
                <w:szCs w:val="36"/>
              </w:rPr>
              <w:t>(Draft)</w:t>
            </w:r>
          </w:p>
          <w:p w:rsidR="00830CB7" w:rsidRPr="00DA30C6" w:rsidRDefault="00830CB7" w:rsidP="00830CB7">
            <w:pPr>
              <w:rPr>
                <w:rFonts w:ascii="Arial" w:hAnsi="Arial" w:cs="Arial"/>
                <w:b/>
                <w:bCs/>
                <w:color w:val="FFFFFF"/>
                <w:sz w:val="32"/>
                <w:szCs w:val="32"/>
              </w:rPr>
            </w:pPr>
          </w:p>
          <w:p w:rsidR="00830CB7" w:rsidRPr="00DA30C6" w:rsidRDefault="00830CB7" w:rsidP="00830CB7">
            <w:pPr>
              <w:rPr>
                <w:rFonts w:ascii="Arial" w:hAnsi="Arial" w:cs="Arial"/>
                <w:b/>
                <w:bCs/>
                <w:color w:val="FFFFFF"/>
              </w:rPr>
            </w:pPr>
          </w:p>
        </w:tc>
      </w:tr>
      <w:tr w:rsidR="00830CB7" w:rsidRPr="00DA30C6">
        <w:tc>
          <w:tcPr>
            <w:tcW w:w="4479" w:type="dxa"/>
            <w:shd w:val="clear" w:color="auto" w:fill="0070C0"/>
          </w:tcPr>
          <w:p w:rsidR="00830CB7" w:rsidRPr="00DA30C6" w:rsidRDefault="00741E67" w:rsidP="00830CB7">
            <w:pPr>
              <w:rPr>
                <w:rFonts w:ascii="Arial" w:hAnsi="Arial" w:cs="Arial"/>
                <w:b/>
                <w:bCs/>
                <w:color w:val="FFFFFF"/>
                <w:sz w:val="32"/>
                <w:szCs w:val="32"/>
              </w:rPr>
            </w:pPr>
            <w:r>
              <w:rPr>
                <w:rFonts w:ascii="Arial" w:hAnsi="Arial" w:cs="Arial"/>
                <w:b/>
                <w:bCs/>
                <w:color w:val="FFFFFF"/>
                <w:sz w:val="32"/>
                <w:szCs w:val="32"/>
              </w:rPr>
              <w:t>December</w:t>
            </w:r>
            <w:r w:rsidR="00830CB7" w:rsidRPr="00DA30C6">
              <w:rPr>
                <w:rFonts w:ascii="Arial" w:hAnsi="Arial" w:cs="Arial"/>
                <w:b/>
                <w:bCs/>
                <w:color w:val="FFFFFF"/>
                <w:sz w:val="32"/>
                <w:szCs w:val="32"/>
              </w:rPr>
              <w:t xml:space="preserve"> 2010</w:t>
            </w:r>
          </w:p>
          <w:p w:rsidR="00830CB7" w:rsidRPr="00DA30C6" w:rsidRDefault="00830CB7" w:rsidP="00830CB7">
            <w:pPr>
              <w:shd w:val="clear" w:color="auto" w:fill="0070C0"/>
              <w:rPr>
                <w:rFonts w:ascii="Arial" w:hAnsi="Arial" w:cs="Arial"/>
                <w:b/>
                <w:bCs/>
                <w:color w:val="FFFFFF"/>
                <w:sz w:val="32"/>
                <w:szCs w:val="32"/>
              </w:rPr>
            </w:pPr>
          </w:p>
          <w:p w:rsidR="00830CB7" w:rsidRPr="00DA30C6" w:rsidRDefault="00830CB7" w:rsidP="00830CB7">
            <w:pPr>
              <w:rPr>
                <w:rFonts w:ascii="Arial" w:hAnsi="Arial" w:cs="Arial"/>
                <w:b/>
                <w:bCs/>
                <w:color w:val="FFFFFF"/>
                <w:sz w:val="32"/>
                <w:szCs w:val="32"/>
              </w:rPr>
            </w:pPr>
          </w:p>
          <w:p w:rsidR="00830CB7" w:rsidRPr="00DA30C6" w:rsidRDefault="00830CB7" w:rsidP="00830CB7">
            <w:pPr>
              <w:rPr>
                <w:rFonts w:ascii="Arial" w:hAnsi="Arial" w:cs="Arial"/>
                <w:b/>
                <w:bCs/>
                <w:color w:val="FFFFFF"/>
                <w:sz w:val="28"/>
                <w:szCs w:val="32"/>
              </w:rPr>
            </w:pPr>
            <w:r w:rsidRPr="00DA30C6">
              <w:rPr>
                <w:rFonts w:ascii="Arial" w:hAnsi="Arial" w:cs="Arial"/>
                <w:b/>
                <w:bCs/>
                <w:color w:val="FFFFFF"/>
                <w:sz w:val="28"/>
                <w:szCs w:val="32"/>
              </w:rPr>
              <w:t>[Name]</w:t>
            </w:r>
          </w:p>
          <w:p w:rsidR="00830CB7" w:rsidRPr="00DA30C6" w:rsidRDefault="00830CB7" w:rsidP="00830CB7">
            <w:pPr>
              <w:rPr>
                <w:rFonts w:ascii="Arial" w:hAnsi="Arial" w:cs="Arial"/>
                <w:b/>
                <w:bCs/>
                <w:color w:val="FFFFFF"/>
                <w:sz w:val="28"/>
                <w:szCs w:val="32"/>
              </w:rPr>
            </w:pPr>
            <w:r w:rsidRPr="00DA30C6">
              <w:rPr>
                <w:rFonts w:ascii="Arial" w:hAnsi="Arial" w:cs="Arial"/>
                <w:b/>
                <w:bCs/>
                <w:color w:val="FFFFFF"/>
                <w:sz w:val="28"/>
                <w:szCs w:val="32"/>
              </w:rPr>
              <w:t>[Contact details]</w:t>
            </w:r>
          </w:p>
          <w:p w:rsidR="00830CB7" w:rsidRPr="00DA30C6" w:rsidRDefault="00830CB7" w:rsidP="00830CB7">
            <w:pPr>
              <w:rPr>
                <w:rFonts w:ascii="Arial" w:hAnsi="Arial" w:cs="Arial"/>
                <w:b/>
                <w:bCs/>
                <w:color w:val="FFFFFF"/>
                <w:sz w:val="32"/>
                <w:szCs w:val="32"/>
              </w:rPr>
            </w:pPr>
            <w:r w:rsidRPr="00DA30C6">
              <w:rPr>
                <w:rFonts w:ascii="Arial" w:hAnsi="Arial" w:cs="Arial"/>
                <w:b/>
                <w:bCs/>
                <w:color w:val="FFFFFF"/>
                <w:sz w:val="28"/>
                <w:szCs w:val="32"/>
              </w:rPr>
              <w:t>Version 1.1</w:t>
            </w:r>
          </w:p>
        </w:tc>
      </w:tr>
    </w:tbl>
    <w:p w:rsidR="00830CB7" w:rsidRDefault="00830CB7" w:rsidP="00830CB7">
      <w:pPr>
        <w:rPr>
          <w:rFonts w:ascii="Arial" w:hAnsi="Arial" w:cs="Arial"/>
          <w:b/>
        </w:rPr>
      </w:pPr>
    </w:p>
    <w:p w:rsidR="00830CB7" w:rsidRPr="00055B75" w:rsidRDefault="00830CB7" w:rsidP="00830CB7">
      <w:pPr>
        <w:rPr>
          <w:rFonts w:ascii="Arial" w:hAnsi="Arial" w:cs="Arial"/>
          <w:b/>
          <w:sz w:val="22"/>
        </w:rPr>
      </w:pPr>
      <w:r>
        <w:rPr>
          <w:rFonts w:ascii="Arial" w:hAnsi="Arial" w:cs="Arial"/>
          <w:b/>
        </w:rPr>
        <w:br w:type="page"/>
      </w:r>
    </w:p>
    <w:tbl>
      <w:tblPr>
        <w:tblW w:w="0" w:type="auto"/>
        <w:tblBorders>
          <w:top w:val="single" w:sz="4" w:space="0" w:color="0070C0"/>
          <w:left w:val="single" w:sz="4" w:space="0" w:color="0070C0"/>
          <w:bottom w:val="single" w:sz="4" w:space="0" w:color="0070C0"/>
          <w:right w:val="single" w:sz="4" w:space="0" w:color="0070C0"/>
        </w:tblBorders>
        <w:tblLook w:val="01E0"/>
      </w:tblPr>
      <w:tblGrid>
        <w:gridCol w:w="8522"/>
      </w:tblGrid>
      <w:tr w:rsidR="00830CB7" w:rsidRPr="00FE6F55">
        <w:tc>
          <w:tcPr>
            <w:tcW w:w="8522" w:type="dxa"/>
            <w:shd w:val="clear" w:color="auto" w:fill="0070C0"/>
          </w:tcPr>
          <w:p w:rsidR="00830CB7" w:rsidRPr="00FB5974" w:rsidRDefault="00830CB7" w:rsidP="00830CB7">
            <w:pPr>
              <w:rPr>
                <w:rFonts w:ascii="Calibri" w:hAnsi="Calibri" w:cs="Arial"/>
                <w:b/>
                <w:color w:val="FFFFFF"/>
                <w:szCs w:val="22"/>
              </w:rPr>
            </w:pPr>
          </w:p>
          <w:p w:rsidR="00830CB7" w:rsidRPr="00FE6F55" w:rsidRDefault="00830CB7" w:rsidP="00830CB7">
            <w:pPr>
              <w:rPr>
                <w:rFonts w:ascii="Calibri" w:hAnsi="Calibri" w:cs="Arial"/>
                <w:b/>
                <w:szCs w:val="22"/>
              </w:rPr>
            </w:pPr>
            <w:r w:rsidRPr="00FB5974">
              <w:rPr>
                <w:rFonts w:ascii="Calibri" w:hAnsi="Calibri" w:cs="Arial"/>
                <w:b/>
                <w:color w:val="FFFFFF"/>
                <w:szCs w:val="22"/>
              </w:rPr>
              <w:t>EXECUTIVE SUMMARY / OVERVIEW</w:t>
            </w:r>
            <w:r w:rsidRPr="00FE6F55">
              <w:rPr>
                <w:rFonts w:ascii="Calibri" w:hAnsi="Calibri" w:cs="Arial"/>
                <w:b/>
                <w:szCs w:val="22"/>
              </w:rPr>
              <w:t xml:space="preserve"> </w:t>
            </w:r>
          </w:p>
        </w:tc>
      </w:tr>
      <w:tr w:rsidR="00830CB7" w:rsidRPr="00FE6F55">
        <w:tc>
          <w:tcPr>
            <w:tcW w:w="8522" w:type="dxa"/>
          </w:tcPr>
          <w:p w:rsidR="00830CB7" w:rsidRPr="00FE6F55" w:rsidRDefault="00830CB7" w:rsidP="00830CB7">
            <w:pPr>
              <w:spacing w:after="120"/>
              <w:rPr>
                <w:rFonts w:ascii="Calibri" w:hAnsi="Calibri"/>
                <w:sz w:val="22"/>
                <w:szCs w:val="22"/>
              </w:rPr>
            </w:pPr>
            <w:r w:rsidRPr="00FE6F55">
              <w:rPr>
                <w:rFonts w:ascii="Calibri" w:hAnsi="Calibri"/>
                <w:iCs/>
                <w:sz w:val="22"/>
                <w:szCs w:val="22"/>
              </w:rPr>
              <w:t xml:space="preserve">The new </w:t>
            </w:r>
            <w:r w:rsidRPr="00FE6F55">
              <w:rPr>
                <w:rFonts w:ascii="Calibri" w:hAnsi="Calibri"/>
                <w:b/>
                <w:iCs/>
                <w:sz w:val="22"/>
                <w:szCs w:val="22"/>
              </w:rPr>
              <w:t>vision</w:t>
            </w:r>
            <w:r w:rsidRPr="00FE6F55">
              <w:rPr>
                <w:rFonts w:ascii="Calibri" w:hAnsi="Calibri"/>
                <w:iCs/>
                <w:sz w:val="22"/>
                <w:szCs w:val="22"/>
              </w:rPr>
              <w:t xml:space="preserve"> for the NHS is set out in the Coalition Government’s White Paper </w:t>
            </w:r>
            <w:r w:rsidRPr="00FE6F55">
              <w:rPr>
                <w:rFonts w:ascii="Calibri" w:hAnsi="Calibri"/>
                <w:i/>
                <w:iCs/>
                <w:sz w:val="22"/>
                <w:szCs w:val="22"/>
              </w:rPr>
              <w:t xml:space="preserve">Equity and excellence: Liberating the NHS, </w:t>
            </w:r>
            <w:r w:rsidRPr="00FE6F55">
              <w:rPr>
                <w:rFonts w:ascii="Calibri" w:hAnsi="Calibri"/>
                <w:iCs/>
                <w:sz w:val="22"/>
                <w:szCs w:val="22"/>
              </w:rPr>
              <w:t xml:space="preserve">which along with the </w:t>
            </w:r>
            <w:r w:rsidRPr="00FE6F55">
              <w:rPr>
                <w:rFonts w:ascii="Calibri" w:hAnsi="Calibri"/>
                <w:i/>
                <w:iCs/>
                <w:sz w:val="22"/>
                <w:szCs w:val="22"/>
              </w:rPr>
              <w:t>NHS Outcomes Framework</w:t>
            </w:r>
            <w:r w:rsidRPr="00FE6F55">
              <w:rPr>
                <w:rFonts w:ascii="Calibri" w:hAnsi="Calibri"/>
                <w:iCs/>
                <w:sz w:val="22"/>
                <w:szCs w:val="22"/>
              </w:rPr>
              <w:t xml:space="preserve"> will have a fundamental influence on how new NHS organisations formulate and implement </w:t>
            </w:r>
            <w:r w:rsidRPr="00FE6F55">
              <w:rPr>
                <w:rFonts w:ascii="Calibri" w:hAnsi="Calibri"/>
                <w:sz w:val="22"/>
                <w:szCs w:val="22"/>
              </w:rPr>
              <w:t xml:space="preserve">local strategy and subsequent change. </w:t>
            </w:r>
          </w:p>
          <w:p w:rsidR="00830CB7" w:rsidRPr="00FE6F55" w:rsidRDefault="00830CB7" w:rsidP="00830CB7">
            <w:pPr>
              <w:pStyle w:val="JCPCTbody"/>
              <w:spacing w:after="120"/>
              <w:rPr>
                <w:rFonts w:ascii="Calibri" w:hAnsi="Calibri"/>
                <w:szCs w:val="22"/>
              </w:rPr>
            </w:pPr>
            <w:r w:rsidRPr="00FE6F55">
              <w:rPr>
                <w:rFonts w:ascii="Calibri" w:hAnsi="Calibri"/>
                <w:szCs w:val="22"/>
              </w:rPr>
              <w:t xml:space="preserve">Key to achieving such a transformation will be new business models of service delivery which improve quality and productivity whilst at the same time engage, inspire and empower staff. </w:t>
            </w:r>
          </w:p>
          <w:p w:rsidR="00830CB7" w:rsidRDefault="00830CB7" w:rsidP="00830CB7">
            <w:pPr>
              <w:rPr>
                <w:rFonts w:ascii="Calibri" w:hAnsi="Calibri"/>
                <w:sz w:val="22"/>
                <w:szCs w:val="22"/>
              </w:rPr>
            </w:pPr>
            <w:r w:rsidRPr="00FE6F55">
              <w:rPr>
                <w:rFonts w:ascii="Calibri" w:hAnsi="Calibri"/>
                <w:sz w:val="22"/>
                <w:szCs w:val="22"/>
              </w:rPr>
              <w:t xml:space="preserve">The </w:t>
            </w:r>
            <w:r w:rsidRPr="00FE6F55">
              <w:rPr>
                <w:rFonts w:ascii="Calibri" w:hAnsi="Calibri"/>
                <w:b/>
                <w:sz w:val="22"/>
                <w:szCs w:val="22"/>
              </w:rPr>
              <w:t>purpose</w:t>
            </w:r>
            <w:r w:rsidRPr="00FE6F55">
              <w:rPr>
                <w:rFonts w:ascii="Calibri" w:hAnsi="Calibri"/>
                <w:sz w:val="22"/>
                <w:szCs w:val="22"/>
              </w:rPr>
              <w:t xml:space="preserve"> of this business case is to consider the options for</w:t>
            </w:r>
            <w:r w:rsidR="00507504">
              <w:rPr>
                <w:rFonts w:ascii="Calibri" w:hAnsi="Calibri"/>
                <w:sz w:val="22"/>
                <w:szCs w:val="22"/>
              </w:rPr>
              <w:t xml:space="preserve"> developing</w:t>
            </w:r>
            <w:r>
              <w:rPr>
                <w:rFonts w:ascii="Calibri" w:hAnsi="Calibri"/>
                <w:sz w:val="22"/>
                <w:szCs w:val="22"/>
              </w:rPr>
              <w:t xml:space="preserve"> </w:t>
            </w:r>
            <w:r w:rsidR="006461B3">
              <w:rPr>
                <w:rFonts w:ascii="Calibri" w:hAnsi="Calibri"/>
                <w:sz w:val="22"/>
                <w:szCs w:val="22"/>
              </w:rPr>
              <w:t xml:space="preserve">a </w:t>
            </w:r>
            <w:r w:rsidRPr="004C5706">
              <w:rPr>
                <w:rFonts w:ascii="Calibri" w:hAnsi="Calibri"/>
                <w:b/>
                <w:sz w:val="22"/>
                <w:szCs w:val="22"/>
              </w:rPr>
              <w:t xml:space="preserve">Physiotherapy Low Back Pain </w:t>
            </w:r>
            <w:r w:rsidR="00B1315C">
              <w:rPr>
                <w:rFonts w:ascii="Calibri" w:hAnsi="Calibri"/>
                <w:b/>
                <w:sz w:val="22"/>
                <w:szCs w:val="22"/>
              </w:rPr>
              <w:t>Pathway</w:t>
            </w:r>
            <w:r w:rsidR="00DA5412">
              <w:rPr>
                <w:rFonts w:ascii="Calibri" w:hAnsi="Calibri"/>
                <w:b/>
                <w:sz w:val="22"/>
                <w:szCs w:val="22"/>
              </w:rPr>
              <w:t xml:space="preserve"> </w:t>
            </w:r>
            <w:r w:rsidR="006461B3">
              <w:rPr>
                <w:rFonts w:ascii="Calibri" w:hAnsi="Calibri"/>
                <w:sz w:val="22"/>
                <w:szCs w:val="22"/>
              </w:rPr>
              <w:t>integrated with</w:t>
            </w:r>
            <w:r w:rsidR="00616B5E" w:rsidRPr="00616B5E">
              <w:rPr>
                <w:rFonts w:ascii="Calibri" w:hAnsi="Calibri"/>
                <w:sz w:val="22"/>
                <w:szCs w:val="22"/>
              </w:rPr>
              <w:t xml:space="preserve"> current physiotherapy MSK services</w:t>
            </w:r>
            <w:r w:rsidR="00616B5E">
              <w:rPr>
                <w:rFonts w:ascii="Calibri" w:hAnsi="Calibri"/>
                <w:b/>
                <w:sz w:val="22"/>
                <w:szCs w:val="22"/>
              </w:rPr>
              <w:t xml:space="preserve"> </w:t>
            </w:r>
            <w:r>
              <w:rPr>
                <w:rFonts w:ascii="Calibri" w:hAnsi="Calibri"/>
                <w:sz w:val="22"/>
                <w:szCs w:val="22"/>
              </w:rPr>
              <w:t xml:space="preserve">that will reduce </w:t>
            </w:r>
            <w:r w:rsidR="00C53965">
              <w:rPr>
                <w:rFonts w:ascii="Calibri" w:hAnsi="Calibri"/>
                <w:sz w:val="22"/>
                <w:szCs w:val="22"/>
              </w:rPr>
              <w:t>the requirement for</w:t>
            </w:r>
            <w:r w:rsidR="008347E3">
              <w:rPr>
                <w:rFonts w:ascii="Calibri" w:hAnsi="Calibri"/>
                <w:sz w:val="22"/>
                <w:szCs w:val="22"/>
              </w:rPr>
              <w:t xml:space="preserve"> orthopaedic </w:t>
            </w:r>
            <w:r w:rsidR="00DA5412">
              <w:rPr>
                <w:rFonts w:ascii="Calibri" w:hAnsi="Calibri"/>
                <w:sz w:val="22"/>
                <w:szCs w:val="22"/>
              </w:rPr>
              <w:t>hospital referral</w:t>
            </w:r>
            <w:r w:rsidR="008347E3">
              <w:rPr>
                <w:rFonts w:ascii="Calibri" w:hAnsi="Calibri"/>
                <w:sz w:val="22"/>
                <w:szCs w:val="22"/>
              </w:rPr>
              <w:t xml:space="preserve"> </w:t>
            </w:r>
            <w:r w:rsidR="00C53965">
              <w:rPr>
                <w:rFonts w:ascii="Calibri" w:hAnsi="Calibri"/>
                <w:sz w:val="22"/>
                <w:szCs w:val="22"/>
              </w:rPr>
              <w:t xml:space="preserve">for patients with low back pain </w:t>
            </w:r>
            <w:r w:rsidR="008347E3">
              <w:rPr>
                <w:rFonts w:ascii="Calibri" w:hAnsi="Calibri"/>
                <w:sz w:val="22"/>
                <w:szCs w:val="22"/>
              </w:rPr>
              <w:t>by 8</w:t>
            </w:r>
            <w:r>
              <w:rPr>
                <w:rFonts w:ascii="Calibri" w:hAnsi="Calibri"/>
                <w:sz w:val="22"/>
                <w:szCs w:val="22"/>
              </w:rPr>
              <w:t>0%</w:t>
            </w:r>
            <w:r w:rsidR="00C53965">
              <w:rPr>
                <w:rFonts w:ascii="Calibri" w:hAnsi="Calibri"/>
                <w:sz w:val="22"/>
                <w:szCs w:val="22"/>
              </w:rPr>
              <w:t xml:space="preserve">. </w:t>
            </w:r>
          </w:p>
          <w:p w:rsidR="00EB3215" w:rsidRDefault="007648BD" w:rsidP="00EB3215">
            <w:pPr>
              <w:pStyle w:val="BodyTextIndent"/>
              <w:spacing w:after="240"/>
              <w:ind w:left="0"/>
              <w:rPr>
                <w:rFonts w:ascii="Calibri" w:hAnsi="Calibri"/>
                <w:sz w:val="22"/>
                <w:szCs w:val="22"/>
              </w:rPr>
            </w:pPr>
            <w:r w:rsidRPr="00FE6F55">
              <w:rPr>
                <w:rFonts w:ascii="Calibri" w:hAnsi="Calibri"/>
                <w:sz w:val="22"/>
                <w:szCs w:val="22"/>
              </w:rPr>
              <w:t xml:space="preserve">The </w:t>
            </w:r>
            <w:r w:rsidRPr="00FE6F55">
              <w:rPr>
                <w:rFonts w:ascii="Calibri" w:hAnsi="Calibri"/>
                <w:b/>
                <w:sz w:val="22"/>
                <w:szCs w:val="22"/>
              </w:rPr>
              <w:t>principal objectives</w:t>
            </w:r>
            <w:r w:rsidRPr="00FE6F55">
              <w:rPr>
                <w:rFonts w:ascii="Calibri" w:hAnsi="Calibri"/>
                <w:sz w:val="22"/>
                <w:szCs w:val="22"/>
              </w:rPr>
              <w:t xml:space="preserve"> are based upon</w:t>
            </w:r>
            <w:r>
              <w:rPr>
                <w:rFonts w:ascii="Calibri" w:hAnsi="Calibri"/>
                <w:sz w:val="22"/>
                <w:szCs w:val="22"/>
              </w:rPr>
              <w:t>,</w:t>
            </w:r>
            <w:r w:rsidRPr="00FE6F55">
              <w:rPr>
                <w:rFonts w:ascii="Calibri" w:hAnsi="Calibri"/>
                <w:sz w:val="22"/>
                <w:szCs w:val="22"/>
              </w:rPr>
              <w:t xml:space="preserve"> and reflect</w:t>
            </w:r>
            <w:r>
              <w:rPr>
                <w:rFonts w:ascii="Calibri" w:hAnsi="Calibri"/>
                <w:sz w:val="22"/>
                <w:szCs w:val="22"/>
              </w:rPr>
              <w:t>,</w:t>
            </w:r>
            <w:r w:rsidRPr="00FE6F55">
              <w:rPr>
                <w:rFonts w:ascii="Calibri" w:hAnsi="Calibri"/>
                <w:sz w:val="22"/>
                <w:szCs w:val="22"/>
              </w:rPr>
              <w:t xml:space="preserve"> four of the five domains of the </w:t>
            </w:r>
            <w:r w:rsidRPr="00FE6F55">
              <w:rPr>
                <w:rFonts w:ascii="Calibri" w:hAnsi="Calibri"/>
                <w:i/>
                <w:iCs/>
                <w:sz w:val="22"/>
                <w:szCs w:val="22"/>
              </w:rPr>
              <w:t xml:space="preserve">NHS Outcomes Framework. </w:t>
            </w:r>
            <w:r w:rsidRPr="00FE6F55">
              <w:rPr>
                <w:rFonts w:ascii="Calibri" w:hAnsi="Calibri"/>
                <w:iCs/>
                <w:sz w:val="22"/>
                <w:szCs w:val="22"/>
              </w:rPr>
              <w:t>The aim is to achieve the objectives through an ‘</w:t>
            </w:r>
            <w:r w:rsidR="00DA5412">
              <w:rPr>
                <w:rFonts w:ascii="Calibri" w:hAnsi="Calibri"/>
                <w:iCs/>
                <w:sz w:val="22"/>
                <w:szCs w:val="22"/>
              </w:rPr>
              <w:t>shift in resource”</w:t>
            </w:r>
            <w:r w:rsidRPr="00FE6F55">
              <w:rPr>
                <w:rFonts w:ascii="Calibri" w:hAnsi="Calibri"/>
                <w:iCs/>
                <w:sz w:val="22"/>
                <w:szCs w:val="22"/>
              </w:rPr>
              <w:t xml:space="preserve"> scheme which seeks to improve the</w:t>
            </w:r>
            <w:r>
              <w:rPr>
                <w:rFonts w:ascii="Calibri" w:hAnsi="Calibri"/>
                <w:iCs/>
                <w:sz w:val="22"/>
                <w:szCs w:val="22"/>
              </w:rPr>
              <w:t xml:space="preserve"> care pathway for patients with low back pain</w:t>
            </w:r>
            <w:r w:rsidRPr="00FE6F55">
              <w:rPr>
                <w:rFonts w:ascii="Calibri" w:hAnsi="Calibri"/>
                <w:iCs/>
                <w:sz w:val="22"/>
                <w:szCs w:val="22"/>
              </w:rPr>
              <w:t xml:space="preserve"> </w:t>
            </w:r>
            <w:r>
              <w:rPr>
                <w:rFonts w:ascii="Calibri" w:hAnsi="Calibri"/>
                <w:sz w:val="22"/>
                <w:szCs w:val="22"/>
              </w:rPr>
              <w:t xml:space="preserve">through access to specialist musculoskeletal physiotherapy assessment, diagnosis and intervention to </w:t>
            </w:r>
            <w:r w:rsidR="00EB3215">
              <w:rPr>
                <w:rFonts w:ascii="Calibri" w:hAnsi="Calibri"/>
                <w:sz w:val="22"/>
                <w:szCs w:val="22"/>
              </w:rPr>
              <w:t>replace orthopaedic consultancy.</w:t>
            </w:r>
          </w:p>
          <w:p w:rsidR="00830CB7" w:rsidRDefault="005452A2" w:rsidP="00EB3215">
            <w:pPr>
              <w:pStyle w:val="BodyTextIndent"/>
              <w:spacing w:after="240"/>
              <w:ind w:left="0"/>
              <w:rPr>
                <w:rFonts w:ascii="Calibri" w:hAnsi="Calibri"/>
                <w:sz w:val="22"/>
                <w:szCs w:val="22"/>
              </w:rPr>
            </w:pPr>
            <w:r w:rsidRPr="00DE2CA1">
              <w:rPr>
                <w:rFonts w:ascii="Calibri" w:hAnsi="Calibri"/>
                <w:sz w:val="22"/>
                <w:szCs w:val="22"/>
              </w:rPr>
              <w:t xml:space="preserve">Low back pain is </w:t>
            </w:r>
            <w:r w:rsidR="00C53965">
              <w:rPr>
                <w:rFonts w:ascii="Calibri" w:hAnsi="Calibri"/>
                <w:sz w:val="22"/>
                <w:szCs w:val="22"/>
              </w:rPr>
              <w:t>a common disorder</w:t>
            </w:r>
            <w:r w:rsidRPr="00DE2CA1">
              <w:rPr>
                <w:rFonts w:ascii="Calibri" w:hAnsi="Calibri"/>
                <w:sz w:val="22"/>
                <w:szCs w:val="22"/>
              </w:rPr>
              <w:t xml:space="preserve"> affecting around one in three of the general adult population of which 20% (or 2.6m people) go on to consult </w:t>
            </w:r>
            <w:r>
              <w:rPr>
                <w:rFonts w:ascii="Calibri" w:hAnsi="Calibri"/>
                <w:sz w:val="22"/>
                <w:szCs w:val="22"/>
              </w:rPr>
              <w:t xml:space="preserve">their GP about the condition.  </w:t>
            </w:r>
            <w:r w:rsidR="004C5706">
              <w:rPr>
                <w:rFonts w:ascii="Calibri" w:hAnsi="Calibri"/>
                <w:sz w:val="22"/>
                <w:szCs w:val="22"/>
              </w:rPr>
              <w:t>Low back pain</w:t>
            </w:r>
            <w:r w:rsidR="00FD0EA0">
              <w:rPr>
                <w:rFonts w:ascii="Calibri" w:hAnsi="Calibri"/>
                <w:sz w:val="22"/>
                <w:szCs w:val="22"/>
              </w:rPr>
              <w:t xml:space="preserve"> </w:t>
            </w:r>
            <w:r w:rsidR="004C5706">
              <w:rPr>
                <w:rFonts w:ascii="Calibri" w:hAnsi="Calibri"/>
                <w:sz w:val="22"/>
                <w:szCs w:val="22"/>
              </w:rPr>
              <w:t>accounts</w:t>
            </w:r>
            <w:r w:rsidR="00C84E07">
              <w:rPr>
                <w:rFonts w:ascii="Calibri" w:hAnsi="Calibri"/>
                <w:sz w:val="22"/>
                <w:szCs w:val="22"/>
              </w:rPr>
              <w:t xml:space="preserve"> for 7 million GP</w:t>
            </w:r>
            <w:r w:rsidR="004C5706">
              <w:rPr>
                <w:rFonts w:ascii="Calibri" w:hAnsi="Calibri"/>
                <w:sz w:val="22"/>
                <w:szCs w:val="22"/>
              </w:rPr>
              <w:t xml:space="preserve"> visits</w:t>
            </w:r>
            <w:r w:rsidR="00C84E07">
              <w:rPr>
                <w:rFonts w:ascii="Calibri" w:hAnsi="Calibri"/>
                <w:sz w:val="22"/>
                <w:szCs w:val="22"/>
              </w:rPr>
              <w:t xml:space="preserve"> </w:t>
            </w:r>
            <w:r w:rsidR="004C5706">
              <w:rPr>
                <w:rFonts w:ascii="Calibri" w:hAnsi="Calibri"/>
                <w:sz w:val="22"/>
                <w:szCs w:val="22"/>
              </w:rPr>
              <w:t>and</w:t>
            </w:r>
            <w:r w:rsidR="00830CB7">
              <w:rPr>
                <w:rFonts w:ascii="Calibri" w:hAnsi="Calibri"/>
                <w:sz w:val="22"/>
                <w:szCs w:val="22"/>
              </w:rPr>
              <w:t xml:space="preserve"> an estimated 12 million working da</w:t>
            </w:r>
            <w:r w:rsidR="00AC4EB8">
              <w:rPr>
                <w:rFonts w:ascii="Calibri" w:hAnsi="Calibri"/>
                <w:sz w:val="22"/>
                <w:szCs w:val="22"/>
              </w:rPr>
              <w:t xml:space="preserve">ys lost per annum across the </w:t>
            </w:r>
            <w:smartTag w:uri="urn:schemas-microsoft-com:office:smarttags" w:element="country-region">
              <w:smartTag w:uri="urn:schemas-microsoft-com:office:smarttags" w:element="place">
                <w:r w:rsidR="00AC4EB8">
                  <w:rPr>
                    <w:rFonts w:ascii="Calibri" w:hAnsi="Calibri"/>
                    <w:sz w:val="22"/>
                    <w:szCs w:val="22"/>
                  </w:rPr>
                  <w:t>UK</w:t>
                </w:r>
              </w:smartTag>
            </w:smartTag>
            <w:r w:rsidR="001A5339">
              <w:rPr>
                <w:rFonts w:ascii="Calibri" w:hAnsi="Calibri"/>
                <w:sz w:val="22"/>
                <w:szCs w:val="22"/>
              </w:rPr>
              <w:t>.</w:t>
            </w:r>
            <w:r w:rsidR="00AC4EB8">
              <w:rPr>
                <w:rFonts w:ascii="Calibri" w:hAnsi="Calibri"/>
                <w:sz w:val="22"/>
                <w:szCs w:val="22"/>
              </w:rPr>
              <w:t xml:space="preserve"> </w:t>
            </w:r>
          </w:p>
          <w:p w:rsidR="007648BD" w:rsidRDefault="00C84E07" w:rsidP="00830CB7">
            <w:pPr>
              <w:rPr>
                <w:rFonts w:ascii="Calibri" w:hAnsi="Calibri"/>
                <w:sz w:val="22"/>
                <w:szCs w:val="22"/>
              </w:rPr>
            </w:pPr>
            <w:r>
              <w:rPr>
                <w:rFonts w:ascii="Calibri" w:hAnsi="Calibri"/>
                <w:sz w:val="22"/>
                <w:szCs w:val="22"/>
              </w:rPr>
              <w:t>Pathways for treatment of low back pain have been traditionally com</w:t>
            </w:r>
            <w:r w:rsidR="004C5706">
              <w:rPr>
                <w:rFonts w:ascii="Calibri" w:hAnsi="Calibri"/>
                <w:sz w:val="22"/>
                <w:szCs w:val="22"/>
              </w:rPr>
              <w:t>p</w:t>
            </w:r>
            <w:r>
              <w:rPr>
                <w:rFonts w:ascii="Calibri" w:hAnsi="Calibri"/>
                <w:sz w:val="22"/>
                <w:szCs w:val="22"/>
              </w:rPr>
              <w:t>lex</w:t>
            </w:r>
            <w:r w:rsidR="004C5706">
              <w:rPr>
                <w:rFonts w:ascii="Calibri" w:hAnsi="Calibri"/>
                <w:sz w:val="22"/>
                <w:szCs w:val="22"/>
              </w:rPr>
              <w:t>,</w:t>
            </w:r>
            <w:r>
              <w:rPr>
                <w:rFonts w:ascii="Calibri" w:hAnsi="Calibri"/>
                <w:sz w:val="22"/>
                <w:szCs w:val="22"/>
              </w:rPr>
              <w:t xml:space="preserve"> with patients seen by multiple practi</w:t>
            </w:r>
            <w:r w:rsidR="004C5706">
              <w:rPr>
                <w:rFonts w:ascii="Calibri" w:hAnsi="Calibri"/>
                <w:sz w:val="22"/>
                <w:szCs w:val="22"/>
              </w:rPr>
              <w:t>ti</w:t>
            </w:r>
            <w:r>
              <w:rPr>
                <w:rFonts w:ascii="Calibri" w:hAnsi="Calibri"/>
                <w:sz w:val="22"/>
                <w:szCs w:val="22"/>
              </w:rPr>
              <w:t>oners</w:t>
            </w:r>
            <w:r w:rsidR="001A5339">
              <w:rPr>
                <w:rFonts w:ascii="Calibri" w:hAnsi="Calibri"/>
                <w:sz w:val="22"/>
                <w:szCs w:val="22"/>
              </w:rPr>
              <w:t>.</w:t>
            </w:r>
            <w:r>
              <w:rPr>
                <w:rFonts w:ascii="Calibri" w:hAnsi="Calibri"/>
                <w:sz w:val="22"/>
                <w:szCs w:val="22"/>
              </w:rPr>
              <w:t xml:space="preserve"> </w:t>
            </w:r>
            <w:r w:rsidR="00507504" w:rsidRPr="00861DA3">
              <w:rPr>
                <w:rFonts w:ascii="Calibri" w:hAnsi="Calibri"/>
                <w:sz w:val="22"/>
                <w:szCs w:val="22"/>
              </w:rPr>
              <w:t>Orthopaedic spend increased from £</w:t>
            </w:r>
            <w:proofErr w:type="spellStart"/>
            <w:r w:rsidR="00861DA3">
              <w:rPr>
                <w:rFonts w:ascii="Calibri" w:hAnsi="Calibri"/>
                <w:sz w:val="22"/>
                <w:szCs w:val="22"/>
              </w:rPr>
              <w:t>xx</w:t>
            </w:r>
            <w:r w:rsidR="00507504" w:rsidRPr="00861DA3">
              <w:rPr>
                <w:rFonts w:ascii="Calibri" w:hAnsi="Calibri"/>
                <w:sz w:val="22"/>
                <w:szCs w:val="22"/>
              </w:rPr>
              <w:t>xM</w:t>
            </w:r>
            <w:proofErr w:type="spellEnd"/>
            <w:r w:rsidR="00507504" w:rsidRPr="00861DA3">
              <w:rPr>
                <w:rFonts w:ascii="Calibri" w:hAnsi="Calibri"/>
                <w:sz w:val="22"/>
                <w:szCs w:val="22"/>
              </w:rPr>
              <w:t xml:space="preserve"> in 1999/2000 to </w:t>
            </w:r>
            <w:r w:rsidR="00EB3215" w:rsidRPr="00861DA3">
              <w:rPr>
                <w:rFonts w:ascii="Calibri" w:hAnsi="Calibri"/>
                <w:sz w:val="22"/>
                <w:szCs w:val="22"/>
              </w:rPr>
              <w:t>£</w:t>
            </w:r>
            <w:proofErr w:type="spellStart"/>
            <w:r w:rsidR="00861DA3">
              <w:rPr>
                <w:rFonts w:ascii="Calibri" w:hAnsi="Calibri"/>
                <w:sz w:val="22"/>
                <w:szCs w:val="22"/>
              </w:rPr>
              <w:t>yy</w:t>
            </w:r>
            <w:r w:rsidR="00EB3215" w:rsidRPr="00861DA3">
              <w:rPr>
                <w:rFonts w:ascii="Calibri" w:hAnsi="Calibri"/>
                <w:sz w:val="22"/>
                <w:szCs w:val="22"/>
              </w:rPr>
              <w:t>y</w:t>
            </w:r>
            <w:r w:rsidR="00507504" w:rsidRPr="00861DA3">
              <w:rPr>
                <w:rFonts w:ascii="Calibri" w:hAnsi="Calibri"/>
                <w:sz w:val="22"/>
                <w:szCs w:val="22"/>
              </w:rPr>
              <w:t>M</w:t>
            </w:r>
            <w:proofErr w:type="spellEnd"/>
            <w:r w:rsidR="00507504" w:rsidRPr="00861DA3">
              <w:rPr>
                <w:rFonts w:ascii="Calibri" w:hAnsi="Calibri"/>
                <w:sz w:val="22"/>
                <w:szCs w:val="22"/>
              </w:rPr>
              <w:t xml:space="preserve"> in 2007/2008, with referral to orthopaedic consultancy for low back pain increasing by xxx%.</w:t>
            </w:r>
            <w:r w:rsidR="00507504">
              <w:rPr>
                <w:rFonts w:ascii="Calibri" w:hAnsi="Calibri"/>
                <w:sz w:val="22"/>
                <w:szCs w:val="22"/>
              </w:rPr>
              <w:t xml:space="preserve"> </w:t>
            </w:r>
          </w:p>
          <w:p w:rsidR="007648BD" w:rsidRDefault="007648BD" w:rsidP="00830CB7">
            <w:pPr>
              <w:rPr>
                <w:rFonts w:ascii="Calibri" w:hAnsi="Calibri"/>
                <w:sz w:val="22"/>
                <w:szCs w:val="22"/>
              </w:rPr>
            </w:pPr>
          </w:p>
          <w:p w:rsidR="006461B3" w:rsidRDefault="007648BD" w:rsidP="00830CB7">
            <w:pPr>
              <w:rPr>
                <w:rFonts w:ascii="Calibri" w:hAnsi="Calibri"/>
                <w:sz w:val="22"/>
                <w:szCs w:val="22"/>
              </w:rPr>
            </w:pPr>
            <w:r w:rsidRPr="009C5764">
              <w:rPr>
                <w:rFonts w:ascii="Calibri" w:hAnsi="Calibri"/>
                <w:sz w:val="22"/>
                <w:szCs w:val="22"/>
              </w:rPr>
              <w:t xml:space="preserve">Orthopaedic surgery rates </w:t>
            </w:r>
            <w:r w:rsidR="009C5764">
              <w:rPr>
                <w:rFonts w:ascii="Calibri" w:hAnsi="Calibri"/>
                <w:sz w:val="22"/>
                <w:szCs w:val="22"/>
              </w:rPr>
              <w:t xml:space="preserve">overall </w:t>
            </w:r>
            <w:r w:rsidRPr="009C5764">
              <w:rPr>
                <w:rFonts w:ascii="Calibri" w:hAnsi="Calibri"/>
                <w:sz w:val="22"/>
                <w:szCs w:val="22"/>
              </w:rPr>
              <w:t xml:space="preserve">for </w:t>
            </w:r>
            <w:r w:rsidR="00507504" w:rsidRPr="009C5764">
              <w:rPr>
                <w:rFonts w:ascii="Calibri" w:hAnsi="Calibri"/>
                <w:sz w:val="22"/>
                <w:szCs w:val="22"/>
              </w:rPr>
              <w:t>low back</w:t>
            </w:r>
            <w:r w:rsidRPr="009C5764">
              <w:rPr>
                <w:rFonts w:ascii="Calibri" w:hAnsi="Calibri"/>
                <w:sz w:val="22"/>
                <w:szCs w:val="22"/>
              </w:rPr>
              <w:t xml:space="preserve"> (from total referred)</w:t>
            </w:r>
            <w:r w:rsidR="00507504" w:rsidRPr="009C5764">
              <w:rPr>
                <w:rFonts w:ascii="Calibri" w:hAnsi="Calibri"/>
                <w:sz w:val="22"/>
                <w:szCs w:val="22"/>
              </w:rPr>
              <w:t xml:space="preserve"> </w:t>
            </w:r>
            <w:r w:rsidRPr="009C5764">
              <w:rPr>
                <w:rFonts w:ascii="Calibri" w:hAnsi="Calibri"/>
                <w:sz w:val="22"/>
                <w:szCs w:val="22"/>
              </w:rPr>
              <w:t>are</w:t>
            </w:r>
            <w:r w:rsidR="00507504" w:rsidRPr="009C5764">
              <w:rPr>
                <w:rFonts w:ascii="Calibri" w:hAnsi="Calibri"/>
                <w:sz w:val="22"/>
                <w:szCs w:val="22"/>
              </w:rPr>
              <w:t xml:space="preserve"> under 3%.</w:t>
            </w:r>
            <w:r w:rsidR="00507504">
              <w:rPr>
                <w:rFonts w:ascii="Calibri" w:hAnsi="Calibri"/>
                <w:sz w:val="22"/>
                <w:szCs w:val="22"/>
              </w:rPr>
              <w:t xml:space="preserve"> The majo</w:t>
            </w:r>
            <w:r>
              <w:rPr>
                <w:rFonts w:ascii="Calibri" w:hAnsi="Calibri"/>
                <w:sz w:val="22"/>
                <w:szCs w:val="22"/>
              </w:rPr>
              <w:t>rity of patients referred to orthopaedic</w:t>
            </w:r>
            <w:r w:rsidR="008A7111">
              <w:rPr>
                <w:rFonts w:ascii="Calibri" w:hAnsi="Calibri"/>
                <w:sz w:val="22"/>
                <w:szCs w:val="22"/>
              </w:rPr>
              <w:t xml:space="preserve"> services</w:t>
            </w:r>
            <w:r>
              <w:rPr>
                <w:rFonts w:ascii="Calibri" w:hAnsi="Calibri"/>
                <w:sz w:val="22"/>
                <w:szCs w:val="22"/>
              </w:rPr>
              <w:t xml:space="preserve"> </w:t>
            </w:r>
            <w:r w:rsidR="00512E84">
              <w:rPr>
                <w:rFonts w:ascii="Calibri" w:hAnsi="Calibri"/>
                <w:sz w:val="22"/>
                <w:szCs w:val="22"/>
              </w:rPr>
              <w:t xml:space="preserve">have </w:t>
            </w:r>
            <w:r w:rsidR="00507504">
              <w:rPr>
                <w:rFonts w:ascii="Calibri" w:hAnsi="Calibri"/>
                <w:sz w:val="22"/>
                <w:szCs w:val="22"/>
              </w:rPr>
              <w:t xml:space="preserve">simple mechanical back pain </w:t>
            </w:r>
            <w:r>
              <w:rPr>
                <w:rFonts w:ascii="Calibri" w:hAnsi="Calibri"/>
                <w:sz w:val="22"/>
                <w:szCs w:val="22"/>
              </w:rPr>
              <w:t>which has no surgical solution and these</w:t>
            </w:r>
            <w:r w:rsidR="00507504">
              <w:rPr>
                <w:rFonts w:ascii="Calibri" w:hAnsi="Calibri"/>
                <w:sz w:val="22"/>
                <w:szCs w:val="22"/>
              </w:rPr>
              <w:t xml:space="preserve"> patients </w:t>
            </w:r>
            <w:r w:rsidR="005452A2">
              <w:rPr>
                <w:rFonts w:ascii="Calibri" w:hAnsi="Calibri"/>
                <w:sz w:val="22"/>
                <w:szCs w:val="22"/>
              </w:rPr>
              <w:t>sh</w:t>
            </w:r>
            <w:r w:rsidR="00507504">
              <w:rPr>
                <w:rFonts w:ascii="Calibri" w:hAnsi="Calibri"/>
                <w:sz w:val="22"/>
                <w:szCs w:val="22"/>
              </w:rPr>
              <w:t>ould be m</w:t>
            </w:r>
            <w:r w:rsidR="005452A2">
              <w:rPr>
                <w:rFonts w:ascii="Calibri" w:hAnsi="Calibri"/>
                <w:sz w:val="22"/>
                <w:szCs w:val="22"/>
              </w:rPr>
              <w:t>anaged in a more</w:t>
            </w:r>
            <w:r>
              <w:rPr>
                <w:rFonts w:ascii="Calibri" w:hAnsi="Calibri"/>
                <w:sz w:val="22"/>
                <w:szCs w:val="22"/>
              </w:rPr>
              <w:t xml:space="preserve"> patient centred,</w:t>
            </w:r>
            <w:r w:rsidR="005452A2">
              <w:rPr>
                <w:rFonts w:ascii="Calibri" w:hAnsi="Calibri"/>
                <w:sz w:val="22"/>
                <w:szCs w:val="22"/>
              </w:rPr>
              <w:t xml:space="preserve"> </w:t>
            </w:r>
            <w:r>
              <w:rPr>
                <w:rFonts w:ascii="Calibri" w:hAnsi="Calibri"/>
                <w:sz w:val="22"/>
                <w:szCs w:val="22"/>
              </w:rPr>
              <w:t>cost efficient</w:t>
            </w:r>
            <w:r w:rsidR="005452A2">
              <w:rPr>
                <w:rFonts w:ascii="Calibri" w:hAnsi="Calibri"/>
                <w:sz w:val="22"/>
                <w:szCs w:val="22"/>
              </w:rPr>
              <w:t xml:space="preserve">, </w:t>
            </w:r>
            <w:r w:rsidR="00507504">
              <w:rPr>
                <w:rFonts w:ascii="Calibri" w:hAnsi="Calibri"/>
                <w:sz w:val="22"/>
                <w:szCs w:val="22"/>
              </w:rPr>
              <w:t xml:space="preserve">evidenced </w:t>
            </w:r>
            <w:r>
              <w:rPr>
                <w:rFonts w:ascii="Calibri" w:hAnsi="Calibri"/>
                <w:sz w:val="22"/>
                <w:szCs w:val="22"/>
              </w:rPr>
              <w:t>based pathway</w:t>
            </w:r>
            <w:r w:rsidR="00507504">
              <w:rPr>
                <w:rFonts w:ascii="Calibri" w:hAnsi="Calibri"/>
                <w:sz w:val="22"/>
                <w:szCs w:val="22"/>
              </w:rPr>
              <w:t>.</w:t>
            </w:r>
          </w:p>
          <w:p w:rsidR="00DA5412" w:rsidRDefault="00DA5412" w:rsidP="00830CB7">
            <w:pPr>
              <w:rPr>
                <w:rFonts w:ascii="Calibri" w:hAnsi="Calibri"/>
                <w:sz w:val="22"/>
                <w:szCs w:val="22"/>
              </w:rPr>
            </w:pPr>
          </w:p>
          <w:p w:rsidR="00830CB7" w:rsidRDefault="00507504" w:rsidP="00830CB7">
            <w:pPr>
              <w:rPr>
                <w:rFonts w:ascii="Calibri" w:hAnsi="Calibri"/>
                <w:sz w:val="22"/>
                <w:szCs w:val="22"/>
              </w:rPr>
            </w:pPr>
            <w:r>
              <w:rPr>
                <w:rFonts w:ascii="Calibri" w:hAnsi="Calibri"/>
                <w:sz w:val="22"/>
                <w:szCs w:val="22"/>
              </w:rPr>
              <w:t xml:space="preserve">Low back pain referrals to </w:t>
            </w:r>
            <w:r w:rsidR="008A7111">
              <w:rPr>
                <w:rFonts w:ascii="Calibri" w:hAnsi="Calibri"/>
                <w:sz w:val="22"/>
                <w:szCs w:val="22"/>
              </w:rPr>
              <w:t>o</w:t>
            </w:r>
            <w:r w:rsidR="00C84E07">
              <w:rPr>
                <w:rFonts w:ascii="Calibri" w:hAnsi="Calibri"/>
                <w:sz w:val="22"/>
                <w:szCs w:val="22"/>
              </w:rPr>
              <w:t>rthopaedic</w:t>
            </w:r>
            <w:r>
              <w:rPr>
                <w:rFonts w:ascii="Calibri" w:hAnsi="Calibri"/>
                <w:sz w:val="22"/>
                <w:szCs w:val="22"/>
              </w:rPr>
              <w:t xml:space="preserve"> </w:t>
            </w:r>
            <w:r w:rsidR="008A7111">
              <w:rPr>
                <w:rFonts w:ascii="Calibri" w:hAnsi="Calibri"/>
                <w:sz w:val="22"/>
                <w:szCs w:val="22"/>
              </w:rPr>
              <w:t xml:space="preserve">services </w:t>
            </w:r>
            <w:r w:rsidR="006461B3">
              <w:rPr>
                <w:rFonts w:ascii="Calibri" w:hAnsi="Calibri"/>
                <w:sz w:val="22"/>
                <w:szCs w:val="22"/>
              </w:rPr>
              <w:t xml:space="preserve">within the organisation </w:t>
            </w:r>
            <w:r>
              <w:rPr>
                <w:rFonts w:ascii="Calibri" w:hAnsi="Calibri"/>
                <w:sz w:val="22"/>
                <w:szCs w:val="22"/>
              </w:rPr>
              <w:t>are curr</w:t>
            </w:r>
            <w:r w:rsidR="006461B3">
              <w:rPr>
                <w:rFonts w:ascii="Calibri" w:hAnsi="Calibri"/>
                <w:sz w:val="22"/>
                <w:szCs w:val="22"/>
              </w:rPr>
              <w:t xml:space="preserve">ently xx per </w:t>
            </w:r>
            <w:r w:rsidR="008A7111">
              <w:rPr>
                <w:rFonts w:ascii="Calibri" w:hAnsi="Calibri"/>
                <w:sz w:val="22"/>
                <w:szCs w:val="22"/>
              </w:rPr>
              <w:t xml:space="preserve">year </w:t>
            </w:r>
            <w:r w:rsidR="006461B3">
              <w:rPr>
                <w:rFonts w:ascii="Calibri" w:hAnsi="Calibri"/>
                <w:sz w:val="22"/>
                <w:szCs w:val="22"/>
              </w:rPr>
              <w:t xml:space="preserve">at a cost of </w:t>
            </w:r>
            <w:r w:rsidR="008A7111">
              <w:rPr>
                <w:rFonts w:ascii="Calibri" w:hAnsi="Calibri"/>
                <w:sz w:val="22"/>
                <w:szCs w:val="22"/>
              </w:rPr>
              <w:t>£</w:t>
            </w:r>
            <w:r w:rsidR="006461B3">
              <w:rPr>
                <w:rFonts w:ascii="Calibri" w:hAnsi="Calibri"/>
                <w:sz w:val="22"/>
                <w:szCs w:val="22"/>
              </w:rPr>
              <w:t>xxx</w:t>
            </w:r>
            <w:r>
              <w:rPr>
                <w:rFonts w:ascii="Calibri" w:hAnsi="Calibri"/>
                <w:sz w:val="22"/>
                <w:szCs w:val="22"/>
              </w:rPr>
              <w:t xml:space="preserve">. Transfer of 80% of this workload to physiotherapy assessment would require xxx WTE physiotherapists at a cost of </w:t>
            </w:r>
            <w:r w:rsidR="008A7111">
              <w:rPr>
                <w:rFonts w:ascii="Calibri" w:hAnsi="Calibri"/>
                <w:sz w:val="22"/>
                <w:szCs w:val="22"/>
              </w:rPr>
              <w:t>£</w:t>
            </w:r>
            <w:r w:rsidR="006461B3">
              <w:rPr>
                <w:rFonts w:ascii="Calibri" w:hAnsi="Calibri"/>
                <w:sz w:val="22"/>
                <w:szCs w:val="22"/>
              </w:rPr>
              <w:t>xx, with efficiency savings equalling £xxx</w:t>
            </w:r>
            <w:r w:rsidR="0071151B">
              <w:rPr>
                <w:rFonts w:ascii="Calibri" w:hAnsi="Calibri"/>
                <w:sz w:val="22"/>
                <w:szCs w:val="22"/>
              </w:rPr>
              <w:t>.</w:t>
            </w:r>
          </w:p>
          <w:p w:rsidR="00AE4C83" w:rsidRDefault="00AE4C83" w:rsidP="00830CB7">
            <w:pPr>
              <w:rPr>
                <w:rFonts w:ascii="Calibri" w:hAnsi="Calibri"/>
                <w:sz w:val="22"/>
                <w:szCs w:val="22"/>
              </w:rPr>
            </w:pPr>
          </w:p>
          <w:p w:rsidR="008A7111" w:rsidRPr="008A7111" w:rsidRDefault="00AE4C83" w:rsidP="00AE4C83">
            <w:pPr>
              <w:spacing w:after="60"/>
              <w:rPr>
                <w:rFonts w:ascii="Calibri" w:hAnsi="Calibri" w:cs="Arial"/>
                <w:sz w:val="22"/>
                <w:szCs w:val="22"/>
              </w:rPr>
            </w:pPr>
            <w:r w:rsidRPr="00FE6F55">
              <w:rPr>
                <w:rFonts w:ascii="Calibri" w:hAnsi="Calibri"/>
                <w:sz w:val="22"/>
                <w:szCs w:val="22"/>
              </w:rPr>
              <w:t>T</w:t>
            </w:r>
            <w:r w:rsidR="008E38A9">
              <w:rPr>
                <w:rFonts w:ascii="Calibri" w:hAnsi="Calibri"/>
                <w:sz w:val="22"/>
                <w:szCs w:val="22"/>
              </w:rPr>
              <w:t xml:space="preserve">wo </w:t>
            </w:r>
            <w:r w:rsidRPr="00FE6F55">
              <w:rPr>
                <w:rFonts w:ascii="Calibri" w:hAnsi="Calibri"/>
                <w:b/>
                <w:sz w:val="22"/>
                <w:szCs w:val="22"/>
              </w:rPr>
              <w:t>options</w:t>
            </w:r>
            <w:r w:rsidRPr="00FE6F55">
              <w:rPr>
                <w:rFonts w:ascii="Calibri" w:hAnsi="Calibri"/>
                <w:sz w:val="22"/>
                <w:szCs w:val="22"/>
              </w:rPr>
              <w:t xml:space="preserve"> are considered in this business case, </w:t>
            </w:r>
            <w:r w:rsidR="00861DA3">
              <w:rPr>
                <w:rFonts w:ascii="Calibri" w:hAnsi="Calibri"/>
                <w:sz w:val="22"/>
                <w:szCs w:val="22"/>
              </w:rPr>
              <w:t>o</w:t>
            </w:r>
            <w:r w:rsidR="006461B3">
              <w:rPr>
                <w:rFonts w:ascii="Calibri" w:hAnsi="Calibri"/>
                <w:sz w:val="22"/>
                <w:szCs w:val="22"/>
              </w:rPr>
              <w:t>ption 1</w:t>
            </w:r>
            <w:r w:rsidR="00861DA3">
              <w:rPr>
                <w:rFonts w:ascii="Calibri" w:hAnsi="Calibri"/>
                <w:sz w:val="22"/>
                <w:szCs w:val="22"/>
              </w:rPr>
              <w:t>,</w:t>
            </w:r>
            <w:r w:rsidR="006461B3">
              <w:rPr>
                <w:rFonts w:ascii="Calibri" w:hAnsi="Calibri"/>
                <w:sz w:val="22"/>
                <w:szCs w:val="22"/>
              </w:rPr>
              <w:t xml:space="preserve"> </w:t>
            </w:r>
            <w:r w:rsidRPr="00FE6F55">
              <w:rPr>
                <w:rFonts w:ascii="Calibri" w:hAnsi="Calibri"/>
                <w:sz w:val="22"/>
                <w:szCs w:val="22"/>
              </w:rPr>
              <w:t xml:space="preserve">a baseline ‘do </w:t>
            </w:r>
            <w:r w:rsidR="008A7111">
              <w:rPr>
                <w:rFonts w:ascii="Calibri" w:hAnsi="Calibri"/>
                <w:sz w:val="22"/>
                <w:szCs w:val="22"/>
              </w:rPr>
              <w:t>minimum/</w:t>
            </w:r>
            <w:r w:rsidRPr="00FE6F55">
              <w:rPr>
                <w:rFonts w:ascii="Calibri" w:hAnsi="Calibri"/>
                <w:sz w:val="22"/>
                <w:szCs w:val="22"/>
              </w:rPr>
              <w:t xml:space="preserve">nothing’ </w:t>
            </w:r>
            <w:r w:rsidR="006461B3">
              <w:rPr>
                <w:rFonts w:ascii="Calibri" w:hAnsi="Calibri"/>
                <w:sz w:val="22"/>
                <w:szCs w:val="22"/>
              </w:rPr>
              <w:t xml:space="preserve">option </w:t>
            </w:r>
            <w:r w:rsidRPr="00FE6F55">
              <w:rPr>
                <w:rFonts w:ascii="Calibri" w:hAnsi="Calibri"/>
                <w:sz w:val="22"/>
                <w:szCs w:val="22"/>
              </w:rPr>
              <w:t xml:space="preserve">and </w:t>
            </w:r>
            <w:r w:rsidR="00861DA3">
              <w:rPr>
                <w:rFonts w:ascii="Calibri" w:hAnsi="Calibri"/>
                <w:sz w:val="22"/>
                <w:szCs w:val="22"/>
              </w:rPr>
              <w:t>o</w:t>
            </w:r>
            <w:r w:rsidR="008E38A9">
              <w:rPr>
                <w:rFonts w:ascii="Calibri" w:hAnsi="Calibri"/>
                <w:sz w:val="22"/>
                <w:szCs w:val="22"/>
              </w:rPr>
              <w:t xml:space="preserve">ption 2 the </w:t>
            </w:r>
            <w:r w:rsidR="008E38A9" w:rsidRPr="008E38A9">
              <w:rPr>
                <w:rFonts w:ascii="Calibri" w:hAnsi="Calibri"/>
                <w:b/>
                <w:sz w:val="22"/>
                <w:szCs w:val="22"/>
              </w:rPr>
              <w:t xml:space="preserve">Physiotherapy Low Back </w:t>
            </w:r>
            <w:r w:rsidRPr="008E38A9">
              <w:rPr>
                <w:rFonts w:ascii="Calibri" w:hAnsi="Calibri"/>
                <w:b/>
                <w:sz w:val="22"/>
                <w:szCs w:val="22"/>
              </w:rPr>
              <w:t xml:space="preserve">Pain </w:t>
            </w:r>
            <w:r w:rsidR="008820AA">
              <w:rPr>
                <w:rFonts w:ascii="Calibri" w:hAnsi="Calibri"/>
                <w:b/>
                <w:sz w:val="22"/>
                <w:szCs w:val="22"/>
              </w:rPr>
              <w:t>Pathway</w:t>
            </w:r>
            <w:r w:rsidRPr="008E38A9">
              <w:rPr>
                <w:rFonts w:ascii="Calibri" w:hAnsi="Calibri"/>
                <w:b/>
                <w:sz w:val="22"/>
                <w:szCs w:val="22"/>
              </w:rPr>
              <w:t>.</w:t>
            </w:r>
            <w:r w:rsidRPr="00FE6F55">
              <w:rPr>
                <w:rFonts w:ascii="Calibri" w:hAnsi="Calibri"/>
                <w:sz w:val="22"/>
                <w:szCs w:val="22"/>
              </w:rPr>
              <w:t xml:space="preserve">  Option 2</w:t>
            </w:r>
            <w:r w:rsidR="008E38A9">
              <w:rPr>
                <w:rFonts w:ascii="Calibri" w:hAnsi="Calibri"/>
                <w:sz w:val="22"/>
                <w:szCs w:val="22"/>
              </w:rPr>
              <w:t xml:space="preserve"> </w:t>
            </w:r>
            <w:r w:rsidRPr="00FE6F55">
              <w:rPr>
                <w:rFonts w:ascii="Calibri" w:hAnsi="Calibri" w:cs="Arial"/>
                <w:sz w:val="22"/>
                <w:szCs w:val="22"/>
              </w:rPr>
              <w:t xml:space="preserve">provides </w:t>
            </w:r>
            <w:r w:rsidR="008E38A9">
              <w:rPr>
                <w:rFonts w:ascii="Calibri" w:hAnsi="Calibri" w:cs="Arial"/>
                <w:sz w:val="22"/>
                <w:szCs w:val="22"/>
              </w:rPr>
              <w:t>a specialist</w:t>
            </w:r>
            <w:r w:rsidRPr="00FE6F55">
              <w:rPr>
                <w:rFonts w:ascii="Calibri" w:hAnsi="Calibri" w:cs="Arial"/>
                <w:sz w:val="22"/>
                <w:szCs w:val="22"/>
              </w:rPr>
              <w:t xml:space="preserve"> </w:t>
            </w:r>
            <w:r w:rsidR="008820AA">
              <w:rPr>
                <w:rFonts w:ascii="Calibri" w:hAnsi="Calibri" w:cs="Arial"/>
                <w:sz w:val="22"/>
                <w:szCs w:val="22"/>
              </w:rPr>
              <w:t xml:space="preserve">physiotherapy </w:t>
            </w:r>
            <w:r w:rsidRPr="00FE6F55">
              <w:rPr>
                <w:rFonts w:ascii="Calibri" w:hAnsi="Calibri" w:cs="Arial"/>
                <w:sz w:val="22"/>
                <w:szCs w:val="22"/>
              </w:rPr>
              <w:t>asses</w:t>
            </w:r>
            <w:r w:rsidR="008E38A9">
              <w:rPr>
                <w:rFonts w:ascii="Calibri" w:hAnsi="Calibri" w:cs="Arial"/>
                <w:sz w:val="22"/>
                <w:szCs w:val="22"/>
              </w:rPr>
              <w:t xml:space="preserve">sment </w:t>
            </w:r>
            <w:r w:rsidR="008820AA">
              <w:rPr>
                <w:rFonts w:ascii="Calibri" w:hAnsi="Calibri" w:cs="Arial"/>
                <w:sz w:val="22"/>
                <w:szCs w:val="22"/>
              </w:rPr>
              <w:t>and management solution for referrals to hospital orthopaedic departments</w:t>
            </w:r>
            <w:r w:rsidRPr="00FE6F55">
              <w:rPr>
                <w:rFonts w:ascii="Calibri" w:hAnsi="Calibri" w:cs="Arial"/>
                <w:sz w:val="22"/>
                <w:szCs w:val="22"/>
              </w:rPr>
              <w:t>. Option 2</w:t>
            </w:r>
            <w:r w:rsidR="008A7111">
              <w:rPr>
                <w:rFonts w:ascii="Calibri" w:hAnsi="Calibri" w:cs="Arial"/>
                <w:sz w:val="22"/>
                <w:szCs w:val="22"/>
              </w:rPr>
              <w:t>,</w:t>
            </w:r>
            <w:r w:rsidRPr="00FE6F55">
              <w:rPr>
                <w:rFonts w:ascii="Calibri" w:hAnsi="Calibri" w:cs="Arial"/>
                <w:sz w:val="22"/>
                <w:szCs w:val="22"/>
              </w:rPr>
              <w:t xml:space="preserve"> incur</w:t>
            </w:r>
            <w:r w:rsidR="008E38A9">
              <w:rPr>
                <w:rFonts w:ascii="Calibri" w:hAnsi="Calibri" w:cs="Arial"/>
                <w:sz w:val="22"/>
                <w:szCs w:val="22"/>
              </w:rPr>
              <w:t>s</w:t>
            </w:r>
            <w:r w:rsidRPr="00FE6F55">
              <w:rPr>
                <w:rFonts w:ascii="Calibri" w:hAnsi="Calibri" w:cs="Arial"/>
                <w:sz w:val="22"/>
                <w:szCs w:val="22"/>
              </w:rPr>
              <w:t xml:space="preserve"> additional </w:t>
            </w:r>
            <w:r w:rsidR="008E38A9">
              <w:rPr>
                <w:rFonts w:ascii="Calibri" w:hAnsi="Calibri" w:cs="Arial"/>
                <w:sz w:val="22"/>
                <w:szCs w:val="22"/>
              </w:rPr>
              <w:t xml:space="preserve">physiotherapy </w:t>
            </w:r>
            <w:r w:rsidRPr="00FE6F55">
              <w:rPr>
                <w:rFonts w:ascii="Calibri" w:hAnsi="Calibri" w:cs="Arial"/>
                <w:sz w:val="22"/>
                <w:szCs w:val="22"/>
              </w:rPr>
              <w:t>cost</w:t>
            </w:r>
            <w:r w:rsidR="008E38A9">
              <w:rPr>
                <w:rFonts w:ascii="Calibri" w:hAnsi="Calibri" w:cs="Arial"/>
                <w:sz w:val="22"/>
                <w:szCs w:val="22"/>
              </w:rPr>
              <w:t>s</w:t>
            </w:r>
            <w:r w:rsidRPr="00FE6F55">
              <w:rPr>
                <w:rFonts w:ascii="Calibri" w:hAnsi="Calibri" w:cs="Arial"/>
                <w:sz w:val="22"/>
                <w:szCs w:val="22"/>
              </w:rPr>
              <w:t xml:space="preserve"> but these </w:t>
            </w:r>
            <w:r w:rsidR="008E38A9">
              <w:rPr>
                <w:rFonts w:ascii="Calibri" w:hAnsi="Calibri" w:cs="Arial"/>
                <w:sz w:val="22"/>
                <w:szCs w:val="22"/>
              </w:rPr>
              <w:t>could be met by shift in resource from orthopaedic consultan</w:t>
            </w:r>
            <w:r w:rsidR="008A7111">
              <w:rPr>
                <w:rFonts w:ascii="Calibri" w:hAnsi="Calibri" w:cs="Arial"/>
                <w:sz w:val="22"/>
                <w:szCs w:val="22"/>
              </w:rPr>
              <w:t>t</w:t>
            </w:r>
            <w:r w:rsidR="008E38A9">
              <w:rPr>
                <w:rFonts w:ascii="Calibri" w:hAnsi="Calibri" w:cs="Arial"/>
                <w:sz w:val="22"/>
                <w:szCs w:val="22"/>
              </w:rPr>
              <w:t xml:space="preserve"> cost</w:t>
            </w:r>
            <w:r w:rsidR="008A7111">
              <w:rPr>
                <w:rFonts w:ascii="Calibri" w:hAnsi="Calibri" w:cs="Arial"/>
                <w:sz w:val="22"/>
                <w:szCs w:val="22"/>
              </w:rPr>
              <w:t>s</w:t>
            </w:r>
            <w:r w:rsidR="008E38A9">
              <w:rPr>
                <w:rFonts w:ascii="Calibri" w:hAnsi="Calibri" w:cs="Arial"/>
                <w:sz w:val="22"/>
                <w:szCs w:val="22"/>
              </w:rPr>
              <w:t xml:space="preserve"> providing an overall cost efficiency.</w:t>
            </w:r>
          </w:p>
          <w:p w:rsidR="00830CB7" w:rsidRDefault="008E38A9" w:rsidP="008A7111">
            <w:pPr>
              <w:spacing w:before="240"/>
              <w:rPr>
                <w:rFonts w:ascii="Calibri" w:hAnsi="Calibri"/>
                <w:sz w:val="22"/>
                <w:szCs w:val="22"/>
              </w:rPr>
            </w:pPr>
            <w:r>
              <w:rPr>
                <w:rFonts w:ascii="Calibri" w:hAnsi="Calibri"/>
                <w:sz w:val="22"/>
                <w:szCs w:val="22"/>
              </w:rPr>
              <w:t xml:space="preserve">A number of constraints have been identified linked to resource transfer and clinical acceptability.  </w:t>
            </w:r>
            <w:r w:rsidR="00507504">
              <w:rPr>
                <w:rFonts w:ascii="Calibri" w:hAnsi="Calibri"/>
                <w:sz w:val="22"/>
                <w:szCs w:val="22"/>
              </w:rPr>
              <w:t xml:space="preserve">Key </w:t>
            </w:r>
            <w:r w:rsidR="00B1315C">
              <w:rPr>
                <w:rFonts w:ascii="Calibri" w:hAnsi="Calibri"/>
                <w:sz w:val="22"/>
                <w:szCs w:val="22"/>
              </w:rPr>
              <w:t>requirements for success would be</w:t>
            </w:r>
            <w:r>
              <w:rPr>
                <w:rFonts w:ascii="Calibri" w:hAnsi="Calibri"/>
                <w:sz w:val="22"/>
                <w:szCs w:val="22"/>
              </w:rPr>
              <w:t xml:space="preserve"> (1)</w:t>
            </w:r>
            <w:r w:rsidR="008820AA">
              <w:rPr>
                <w:rFonts w:ascii="Calibri" w:hAnsi="Calibri"/>
                <w:sz w:val="22"/>
                <w:szCs w:val="22"/>
              </w:rPr>
              <w:t xml:space="preserve"> </w:t>
            </w:r>
            <w:r w:rsidR="008A7111">
              <w:rPr>
                <w:rFonts w:ascii="Calibri" w:hAnsi="Calibri"/>
                <w:sz w:val="22"/>
                <w:szCs w:val="22"/>
              </w:rPr>
              <w:t>s</w:t>
            </w:r>
            <w:r w:rsidR="00830CB7">
              <w:rPr>
                <w:rFonts w:ascii="Calibri" w:hAnsi="Calibri"/>
                <w:sz w:val="22"/>
                <w:szCs w:val="22"/>
              </w:rPr>
              <w:t>ingle point of rapid access</w:t>
            </w:r>
            <w:r>
              <w:rPr>
                <w:rFonts w:ascii="Calibri" w:hAnsi="Calibri"/>
                <w:sz w:val="22"/>
                <w:szCs w:val="22"/>
              </w:rPr>
              <w:t xml:space="preserve">, (2) </w:t>
            </w:r>
            <w:r w:rsidR="00861DA3">
              <w:rPr>
                <w:rFonts w:ascii="Calibri" w:hAnsi="Calibri"/>
                <w:sz w:val="22"/>
                <w:szCs w:val="22"/>
              </w:rPr>
              <w:t>e</w:t>
            </w:r>
            <w:r w:rsidR="00830CB7">
              <w:rPr>
                <w:rFonts w:ascii="Calibri" w:hAnsi="Calibri"/>
                <w:sz w:val="22"/>
                <w:szCs w:val="22"/>
              </w:rPr>
              <w:t>x</w:t>
            </w:r>
            <w:r>
              <w:rPr>
                <w:rFonts w:ascii="Calibri" w:hAnsi="Calibri"/>
                <w:sz w:val="22"/>
                <w:szCs w:val="22"/>
              </w:rPr>
              <w:t xml:space="preserve">cellent communication with GP’s, (3) </w:t>
            </w:r>
            <w:r w:rsidR="00861DA3">
              <w:rPr>
                <w:rFonts w:ascii="Calibri" w:hAnsi="Calibri"/>
                <w:sz w:val="22"/>
                <w:szCs w:val="22"/>
              </w:rPr>
              <w:t>d</w:t>
            </w:r>
            <w:r w:rsidR="00830CB7">
              <w:rPr>
                <w:rFonts w:ascii="Calibri" w:hAnsi="Calibri"/>
                <w:sz w:val="22"/>
                <w:szCs w:val="22"/>
              </w:rPr>
              <w:t>irect access to diagnostics</w:t>
            </w:r>
            <w:r>
              <w:rPr>
                <w:rFonts w:ascii="Calibri" w:hAnsi="Calibri"/>
                <w:sz w:val="22"/>
                <w:szCs w:val="22"/>
              </w:rPr>
              <w:t xml:space="preserve"> and (4) </w:t>
            </w:r>
            <w:r w:rsidR="00861DA3">
              <w:rPr>
                <w:rFonts w:ascii="Calibri" w:hAnsi="Calibri"/>
                <w:sz w:val="22"/>
                <w:szCs w:val="22"/>
              </w:rPr>
              <w:t>a</w:t>
            </w:r>
            <w:r w:rsidR="00830CB7">
              <w:rPr>
                <w:rFonts w:ascii="Calibri" w:hAnsi="Calibri"/>
                <w:sz w:val="22"/>
                <w:szCs w:val="22"/>
              </w:rPr>
              <w:t xml:space="preserve">ppropriate triage and referral to </w:t>
            </w:r>
            <w:r w:rsidR="00DA5412">
              <w:rPr>
                <w:rFonts w:ascii="Calibri" w:hAnsi="Calibri"/>
                <w:sz w:val="22"/>
                <w:szCs w:val="22"/>
              </w:rPr>
              <w:t>hospital orthopaedic</w:t>
            </w:r>
            <w:r w:rsidR="00830CB7">
              <w:rPr>
                <w:rFonts w:ascii="Calibri" w:hAnsi="Calibri"/>
                <w:sz w:val="22"/>
                <w:szCs w:val="22"/>
              </w:rPr>
              <w:t xml:space="preserve"> care</w:t>
            </w:r>
            <w:r w:rsidR="005452A2">
              <w:rPr>
                <w:rFonts w:ascii="Calibri" w:hAnsi="Calibri"/>
                <w:sz w:val="22"/>
                <w:szCs w:val="22"/>
              </w:rPr>
              <w:t xml:space="preserve"> for 20% serious pathology</w:t>
            </w:r>
            <w:r w:rsidR="00830CB7">
              <w:rPr>
                <w:rFonts w:ascii="Calibri" w:hAnsi="Calibri"/>
                <w:sz w:val="22"/>
                <w:szCs w:val="22"/>
              </w:rPr>
              <w:t>.</w:t>
            </w:r>
          </w:p>
          <w:p w:rsidR="008E38A9" w:rsidRDefault="008E38A9" w:rsidP="008E38A9">
            <w:pPr>
              <w:rPr>
                <w:rFonts w:ascii="Calibri" w:hAnsi="Calibri"/>
                <w:sz w:val="22"/>
                <w:szCs w:val="22"/>
              </w:rPr>
            </w:pPr>
          </w:p>
          <w:p w:rsidR="00830CB7" w:rsidRPr="008E38A9" w:rsidRDefault="008E38A9" w:rsidP="00830CB7">
            <w:pPr>
              <w:rPr>
                <w:rFonts w:ascii="Calibri" w:hAnsi="Calibri"/>
                <w:sz w:val="22"/>
                <w:szCs w:val="22"/>
              </w:rPr>
            </w:pPr>
            <w:r>
              <w:rPr>
                <w:rFonts w:ascii="Calibri" w:hAnsi="Calibri"/>
                <w:sz w:val="22"/>
                <w:szCs w:val="22"/>
              </w:rPr>
              <w:t>Robust evaluation metrics are described within the business case.</w:t>
            </w:r>
          </w:p>
        </w:tc>
      </w:tr>
    </w:tbl>
    <w:tbl>
      <w:tblPr>
        <w:tblpPr w:leftFromText="180" w:rightFromText="180" w:vertAnchor="text" w:horzAnchor="margin" w:tblpY="181"/>
        <w:tblW w:w="0" w:type="auto"/>
        <w:tblBorders>
          <w:top w:val="single" w:sz="4" w:space="0" w:color="0070C0"/>
          <w:left w:val="single" w:sz="4" w:space="0" w:color="0070C0"/>
          <w:bottom w:val="single" w:sz="4" w:space="0" w:color="0070C0"/>
          <w:right w:val="single" w:sz="4" w:space="0" w:color="0070C0"/>
        </w:tblBorders>
        <w:tblLook w:val="01E0"/>
      </w:tblPr>
      <w:tblGrid>
        <w:gridCol w:w="9579"/>
      </w:tblGrid>
      <w:tr w:rsidR="008E38A9" w:rsidRPr="00055B75">
        <w:tc>
          <w:tcPr>
            <w:tcW w:w="8522" w:type="dxa"/>
            <w:shd w:val="clear" w:color="auto" w:fill="0070C0"/>
          </w:tcPr>
          <w:p w:rsidR="008E38A9" w:rsidRPr="00055B75" w:rsidRDefault="008E38A9" w:rsidP="008E38A9">
            <w:pPr>
              <w:rPr>
                <w:rFonts w:ascii="Calibri" w:hAnsi="Calibri" w:cs="Arial"/>
                <w:b/>
                <w:color w:val="FFFFFF"/>
                <w:sz w:val="22"/>
                <w:szCs w:val="22"/>
              </w:rPr>
            </w:pPr>
          </w:p>
          <w:p w:rsidR="008E38A9" w:rsidRPr="00055B75" w:rsidRDefault="008E38A9" w:rsidP="008E38A9">
            <w:pPr>
              <w:rPr>
                <w:rFonts w:ascii="Calibri" w:hAnsi="Calibri" w:cs="Arial"/>
                <w:b/>
                <w:color w:val="FFFFFF"/>
                <w:sz w:val="22"/>
                <w:szCs w:val="22"/>
              </w:rPr>
            </w:pPr>
            <w:r w:rsidRPr="00055B75">
              <w:rPr>
                <w:rFonts w:ascii="Calibri" w:hAnsi="Calibri" w:cs="Arial"/>
                <w:b/>
                <w:color w:val="FFFFFF"/>
                <w:sz w:val="22"/>
                <w:szCs w:val="22"/>
              </w:rPr>
              <w:t>PURPOSE OF BUSINESS CASE</w:t>
            </w:r>
          </w:p>
        </w:tc>
      </w:tr>
      <w:tr w:rsidR="008E38A9" w:rsidRPr="00055B75">
        <w:tc>
          <w:tcPr>
            <w:tcW w:w="8522" w:type="dxa"/>
          </w:tcPr>
          <w:p w:rsidR="008E38A9" w:rsidRPr="00055B75" w:rsidRDefault="008E38A9" w:rsidP="008E38A9">
            <w:pPr>
              <w:rPr>
                <w:rFonts w:ascii="Calibri" w:hAnsi="Calibri" w:cs="Arial"/>
                <w:b/>
                <w:sz w:val="22"/>
                <w:szCs w:val="22"/>
              </w:rPr>
            </w:pPr>
          </w:p>
          <w:p w:rsidR="008E38A9" w:rsidRPr="00055B75" w:rsidRDefault="008E38A9" w:rsidP="008E38A9">
            <w:pPr>
              <w:rPr>
                <w:rFonts w:ascii="Calibri" w:hAnsi="Calibri"/>
                <w:i/>
                <w:iCs/>
                <w:color w:val="0000FF"/>
                <w:sz w:val="22"/>
                <w:szCs w:val="22"/>
              </w:rPr>
            </w:pPr>
            <w:r w:rsidRPr="00055B75">
              <w:rPr>
                <w:rFonts w:ascii="Calibri" w:hAnsi="Calibri"/>
                <w:iCs/>
                <w:sz w:val="22"/>
                <w:szCs w:val="22"/>
              </w:rPr>
              <w:t xml:space="preserve">The new vision for the NHS is set out in the Coalition Government’s White Paper </w:t>
            </w:r>
            <w:r w:rsidRPr="00055B75">
              <w:rPr>
                <w:rFonts w:ascii="Calibri" w:hAnsi="Calibri"/>
                <w:i/>
                <w:iCs/>
                <w:sz w:val="22"/>
                <w:szCs w:val="22"/>
              </w:rPr>
              <w:t xml:space="preserve">Equity and excellence: Liberating the NHS </w:t>
            </w:r>
            <w:r w:rsidRPr="00055B75">
              <w:rPr>
                <w:rFonts w:ascii="Calibri" w:hAnsi="Calibri"/>
                <w:i/>
                <w:iCs/>
                <w:color w:val="0000FF"/>
                <w:sz w:val="22"/>
                <w:szCs w:val="22"/>
              </w:rPr>
              <w:t>(</w:t>
            </w:r>
            <w:hyperlink r:id="rId7" w:history="1">
              <w:r w:rsidRPr="00055B75">
                <w:rPr>
                  <w:rStyle w:val="Hyperlink"/>
                  <w:rFonts w:ascii="Calibri" w:hAnsi="Calibri"/>
                  <w:i/>
                  <w:iCs/>
                  <w:sz w:val="22"/>
                  <w:szCs w:val="22"/>
                </w:rPr>
                <w:t>www.dh.gov.uk/en/Publicationsandstatistics/Publications/PublicationsPolicyAndGuidance/DH_117353</w:t>
              </w:r>
            </w:hyperlink>
            <w:r w:rsidRPr="00055B75">
              <w:rPr>
                <w:rFonts w:ascii="Calibri" w:hAnsi="Calibri"/>
                <w:i/>
                <w:iCs/>
                <w:color w:val="0000FF"/>
                <w:sz w:val="22"/>
                <w:szCs w:val="22"/>
              </w:rPr>
              <w:t>).</w:t>
            </w:r>
          </w:p>
          <w:p w:rsidR="008E38A9" w:rsidRPr="00055B75" w:rsidRDefault="008E38A9" w:rsidP="008E38A9">
            <w:pPr>
              <w:rPr>
                <w:rFonts w:ascii="Calibri" w:hAnsi="Calibri"/>
                <w:i/>
                <w:iCs/>
                <w:color w:val="0000FF"/>
                <w:sz w:val="22"/>
                <w:szCs w:val="22"/>
              </w:rPr>
            </w:pPr>
          </w:p>
          <w:p w:rsidR="008E38A9" w:rsidRPr="00055B75" w:rsidRDefault="008E38A9" w:rsidP="008E38A9">
            <w:pPr>
              <w:rPr>
                <w:rFonts w:ascii="Calibri" w:hAnsi="Calibri"/>
                <w:iCs/>
                <w:sz w:val="22"/>
                <w:szCs w:val="22"/>
              </w:rPr>
            </w:pPr>
            <w:r w:rsidRPr="00055B75">
              <w:rPr>
                <w:rFonts w:ascii="Calibri" w:hAnsi="Calibri"/>
                <w:iCs/>
                <w:sz w:val="22"/>
                <w:szCs w:val="22"/>
              </w:rPr>
              <w:t>This restates the core values and principles of the NHS; seeks to devolve commissioning responsibility to local consortia of general practices, with the goal of achieving outcomes and quality standards which are amongst the best in the world, despite a constrained financial environment.</w:t>
            </w:r>
          </w:p>
          <w:p w:rsidR="008E38A9" w:rsidRPr="00055B75" w:rsidRDefault="008E38A9" w:rsidP="008E38A9">
            <w:pPr>
              <w:rPr>
                <w:rFonts w:ascii="Calibri" w:hAnsi="Calibri"/>
                <w:iCs/>
                <w:sz w:val="22"/>
                <w:szCs w:val="22"/>
              </w:rPr>
            </w:pPr>
          </w:p>
          <w:p w:rsidR="008E38A9" w:rsidRPr="00055B75" w:rsidRDefault="008E38A9" w:rsidP="008E38A9">
            <w:pPr>
              <w:rPr>
                <w:rFonts w:ascii="Calibri" w:hAnsi="Calibri"/>
                <w:iCs/>
                <w:sz w:val="22"/>
                <w:szCs w:val="22"/>
              </w:rPr>
            </w:pPr>
            <w:r w:rsidRPr="00055B75">
              <w:rPr>
                <w:rFonts w:ascii="Calibri" w:hAnsi="Calibri"/>
                <w:iCs/>
                <w:sz w:val="22"/>
                <w:szCs w:val="22"/>
              </w:rPr>
              <w:t xml:space="preserve">The GP Consortia will agree local priorities each year within the context of a NHS Outcomes Framework (currently being consulted upon). This is likely to be based on five high level outcome domains covering the elements of quality defined by Lord </w:t>
            </w:r>
            <w:proofErr w:type="spellStart"/>
            <w:r w:rsidRPr="00055B75">
              <w:rPr>
                <w:rFonts w:ascii="Calibri" w:hAnsi="Calibri"/>
                <w:iCs/>
                <w:sz w:val="22"/>
                <w:szCs w:val="22"/>
              </w:rPr>
              <w:t>Darzi</w:t>
            </w:r>
            <w:proofErr w:type="spellEnd"/>
            <w:r w:rsidRPr="00055B75">
              <w:rPr>
                <w:rFonts w:ascii="Calibri" w:hAnsi="Calibri"/>
                <w:iCs/>
                <w:sz w:val="22"/>
                <w:szCs w:val="22"/>
              </w:rPr>
              <w:t>: (</w:t>
            </w:r>
            <w:hyperlink r:id="rId8" w:history="1">
              <w:r w:rsidRPr="00055B75">
                <w:rPr>
                  <w:rStyle w:val="Hyperlink"/>
                  <w:rFonts w:ascii="Calibri" w:hAnsi="Calibri"/>
                  <w:iCs/>
                  <w:sz w:val="22"/>
                  <w:szCs w:val="22"/>
                </w:rPr>
                <w:t>www.dh.gov.uk/en/Publicationsandstatistics/Publications/PublicationsPolicyAndGuidance/DH_085825</w:t>
              </w:r>
            </w:hyperlink>
            <w:r w:rsidRPr="00055B75">
              <w:rPr>
                <w:rFonts w:ascii="Calibri" w:hAnsi="Calibri"/>
                <w:iCs/>
                <w:sz w:val="22"/>
                <w:szCs w:val="22"/>
              </w:rPr>
              <w:t>)</w:t>
            </w:r>
          </w:p>
          <w:p w:rsidR="00A52E48" w:rsidRDefault="00A52E48" w:rsidP="008E38A9">
            <w:pPr>
              <w:rPr>
                <w:rFonts w:ascii="Calibri" w:hAnsi="Calibri"/>
                <w:sz w:val="22"/>
                <w:szCs w:val="22"/>
              </w:rPr>
            </w:pPr>
          </w:p>
          <w:p w:rsidR="000B0762" w:rsidRDefault="000B0762" w:rsidP="008E38A9">
            <w:pPr>
              <w:rPr>
                <w:rFonts w:ascii="Calibri" w:hAnsi="Calibri"/>
                <w:i/>
                <w:sz w:val="22"/>
                <w:szCs w:val="22"/>
              </w:rPr>
            </w:pPr>
            <w:r w:rsidRPr="000B0762">
              <w:rPr>
                <w:rFonts w:ascii="Calibri" w:hAnsi="Calibri"/>
                <w:i/>
                <w:sz w:val="22"/>
                <w:szCs w:val="22"/>
              </w:rPr>
              <w:t xml:space="preserve">[Note: if you have any local research which will inform the Business </w:t>
            </w:r>
            <w:r>
              <w:rPr>
                <w:rFonts w:ascii="Calibri" w:hAnsi="Calibri"/>
                <w:i/>
                <w:sz w:val="22"/>
                <w:szCs w:val="22"/>
              </w:rPr>
              <w:t>C</w:t>
            </w:r>
            <w:r w:rsidRPr="000B0762">
              <w:rPr>
                <w:rFonts w:ascii="Calibri" w:hAnsi="Calibri"/>
                <w:i/>
                <w:sz w:val="22"/>
                <w:szCs w:val="22"/>
              </w:rPr>
              <w:t>ase please add here]</w:t>
            </w:r>
          </w:p>
          <w:p w:rsidR="000B0762" w:rsidRPr="000B0762" w:rsidRDefault="000B0762" w:rsidP="008E38A9">
            <w:pPr>
              <w:rPr>
                <w:rFonts w:ascii="Calibri" w:hAnsi="Calibri"/>
                <w:i/>
                <w:sz w:val="22"/>
                <w:szCs w:val="22"/>
              </w:rPr>
            </w:pPr>
          </w:p>
          <w:p w:rsidR="00A52E48" w:rsidRPr="00055B75" w:rsidRDefault="00A52E48" w:rsidP="00A52E48">
            <w:pPr>
              <w:rPr>
                <w:rFonts w:ascii="Calibri" w:hAnsi="Calibri"/>
                <w:sz w:val="22"/>
                <w:szCs w:val="22"/>
              </w:rPr>
            </w:pPr>
            <w:r w:rsidRPr="00055B75">
              <w:rPr>
                <w:rFonts w:ascii="Calibri" w:hAnsi="Calibri"/>
                <w:sz w:val="22"/>
                <w:szCs w:val="22"/>
              </w:rPr>
              <w:t xml:space="preserve">Key to achieving such a transformation will be new business models of service delivery which improve quality and productivity whilst at the same time engage and empower staff to contribute to the domains outlined in the </w:t>
            </w:r>
            <w:r w:rsidRPr="00055B75">
              <w:rPr>
                <w:rFonts w:ascii="Calibri" w:hAnsi="Calibri"/>
                <w:i/>
                <w:iCs/>
                <w:sz w:val="22"/>
                <w:szCs w:val="22"/>
              </w:rPr>
              <w:t xml:space="preserve">NHS Outcomes Framework </w:t>
            </w:r>
            <w:r w:rsidRPr="00055B75">
              <w:rPr>
                <w:rFonts w:ascii="Calibri" w:hAnsi="Calibri"/>
                <w:iCs/>
                <w:sz w:val="22"/>
                <w:szCs w:val="22"/>
              </w:rPr>
              <w:t xml:space="preserve">and the thrust of the earlier </w:t>
            </w:r>
            <w:r w:rsidRPr="00055B75">
              <w:rPr>
                <w:rFonts w:ascii="Calibri" w:hAnsi="Calibri"/>
                <w:i/>
                <w:sz w:val="22"/>
                <w:szCs w:val="22"/>
              </w:rPr>
              <w:t>Quality, Innovation, Productivity and Prevention Programme (QIPP).</w:t>
            </w:r>
          </w:p>
          <w:p w:rsidR="00A52E48" w:rsidRPr="00055B75" w:rsidRDefault="00A52E48" w:rsidP="008E38A9">
            <w:pPr>
              <w:rPr>
                <w:rFonts w:ascii="Calibri" w:hAnsi="Calibri"/>
                <w:sz w:val="22"/>
                <w:szCs w:val="22"/>
              </w:rPr>
            </w:pPr>
          </w:p>
          <w:p w:rsidR="008E38A9" w:rsidRPr="00055B75" w:rsidRDefault="008E38A9" w:rsidP="008E38A9">
            <w:pPr>
              <w:rPr>
                <w:rFonts w:ascii="Calibri" w:hAnsi="Calibri"/>
                <w:sz w:val="22"/>
                <w:szCs w:val="22"/>
              </w:rPr>
            </w:pPr>
            <w:r w:rsidRPr="00055B75">
              <w:rPr>
                <w:rFonts w:ascii="Calibri" w:hAnsi="Calibri"/>
                <w:sz w:val="22"/>
                <w:szCs w:val="22"/>
              </w:rPr>
              <w:t xml:space="preserve">The </w:t>
            </w:r>
            <w:r w:rsidRPr="00055B75">
              <w:rPr>
                <w:rFonts w:ascii="Calibri" w:hAnsi="Calibri"/>
                <w:b/>
                <w:sz w:val="22"/>
                <w:szCs w:val="22"/>
              </w:rPr>
              <w:t>purpose</w:t>
            </w:r>
            <w:r w:rsidRPr="00055B75">
              <w:rPr>
                <w:rFonts w:ascii="Calibri" w:hAnsi="Calibri"/>
                <w:sz w:val="22"/>
                <w:szCs w:val="22"/>
              </w:rPr>
              <w:t xml:space="preserve"> of this business case is to consider the options for </w:t>
            </w:r>
            <w:r w:rsidR="00A52E48" w:rsidRPr="00055B75">
              <w:rPr>
                <w:rFonts w:ascii="Calibri" w:hAnsi="Calibri"/>
                <w:sz w:val="22"/>
                <w:szCs w:val="22"/>
              </w:rPr>
              <w:t xml:space="preserve">a </w:t>
            </w:r>
            <w:r w:rsidR="00A52E48" w:rsidRPr="00055B75">
              <w:rPr>
                <w:rFonts w:ascii="Calibri" w:hAnsi="Calibri"/>
                <w:b/>
                <w:sz w:val="22"/>
                <w:szCs w:val="22"/>
              </w:rPr>
              <w:t>Physiotherapy Low Back P</w:t>
            </w:r>
            <w:r w:rsidRPr="00055B75">
              <w:rPr>
                <w:rFonts w:ascii="Calibri" w:hAnsi="Calibri"/>
                <w:b/>
                <w:sz w:val="22"/>
                <w:szCs w:val="22"/>
              </w:rPr>
              <w:t xml:space="preserve">ain </w:t>
            </w:r>
            <w:r w:rsidR="00A52E48" w:rsidRPr="00055B75">
              <w:rPr>
                <w:rFonts w:ascii="Calibri" w:hAnsi="Calibri"/>
                <w:b/>
                <w:sz w:val="22"/>
                <w:szCs w:val="22"/>
              </w:rPr>
              <w:t>Pathway</w:t>
            </w:r>
            <w:r w:rsidR="00A52E48" w:rsidRPr="00055B75">
              <w:rPr>
                <w:rFonts w:ascii="Calibri" w:hAnsi="Calibri"/>
                <w:sz w:val="22"/>
                <w:szCs w:val="22"/>
              </w:rPr>
              <w:t xml:space="preserve"> </w:t>
            </w:r>
            <w:r w:rsidRPr="00055B75">
              <w:rPr>
                <w:rFonts w:ascii="Calibri" w:hAnsi="Calibri"/>
                <w:sz w:val="22"/>
                <w:szCs w:val="22"/>
              </w:rPr>
              <w:t xml:space="preserve">model that will reduce </w:t>
            </w:r>
            <w:r w:rsidR="008820AA" w:rsidRPr="00055B75">
              <w:rPr>
                <w:rFonts w:ascii="Calibri" w:hAnsi="Calibri"/>
                <w:sz w:val="22"/>
                <w:szCs w:val="22"/>
              </w:rPr>
              <w:t xml:space="preserve">referral to hospital orthopaedic departments </w:t>
            </w:r>
            <w:r w:rsidRPr="00055B75">
              <w:rPr>
                <w:rFonts w:ascii="Calibri" w:hAnsi="Calibri"/>
                <w:sz w:val="22"/>
                <w:szCs w:val="22"/>
              </w:rPr>
              <w:t>for low back pain by 80%</w:t>
            </w:r>
            <w:r w:rsidR="00861DA3" w:rsidRPr="00055B75">
              <w:rPr>
                <w:rFonts w:ascii="Calibri" w:hAnsi="Calibri"/>
                <w:sz w:val="22"/>
                <w:szCs w:val="22"/>
              </w:rPr>
              <w:t>.</w:t>
            </w:r>
          </w:p>
          <w:p w:rsidR="008E38A9" w:rsidRPr="00055B75" w:rsidRDefault="008E38A9" w:rsidP="008E38A9">
            <w:pPr>
              <w:pStyle w:val="BodyTextIndent"/>
              <w:ind w:left="0"/>
              <w:rPr>
                <w:rFonts w:ascii="Calibri" w:hAnsi="Calibri"/>
                <w:sz w:val="22"/>
                <w:szCs w:val="22"/>
              </w:rPr>
            </w:pPr>
            <w:r w:rsidRPr="00055B75">
              <w:rPr>
                <w:rFonts w:ascii="Calibri" w:hAnsi="Calibri"/>
                <w:sz w:val="22"/>
                <w:szCs w:val="22"/>
              </w:rPr>
              <w:t xml:space="preserve">The </w:t>
            </w:r>
            <w:r w:rsidRPr="00055B75">
              <w:rPr>
                <w:rFonts w:ascii="Calibri" w:hAnsi="Calibri"/>
                <w:b/>
                <w:sz w:val="22"/>
                <w:szCs w:val="22"/>
              </w:rPr>
              <w:t>principal objectives</w:t>
            </w:r>
            <w:r w:rsidRPr="00055B75">
              <w:rPr>
                <w:rFonts w:ascii="Calibri" w:hAnsi="Calibri"/>
                <w:sz w:val="22"/>
                <w:szCs w:val="22"/>
              </w:rPr>
              <w:t xml:space="preserve"> are based upon and reflect four of the five domains of the </w:t>
            </w:r>
            <w:r w:rsidRPr="00055B75">
              <w:rPr>
                <w:rFonts w:ascii="Calibri" w:hAnsi="Calibri"/>
                <w:i/>
                <w:iCs/>
                <w:sz w:val="22"/>
                <w:szCs w:val="22"/>
              </w:rPr>
              <w:t xml:space="preserve">NHS Outcomes Framework. </w:t>
            </w:r>
            <w:r w:rsidRPr="00055B75">
              <w:rPr>
                <w:rFonts w:ascii="Calibri" w:hAnsi="Calibri"/>
                <w:iCs/>
                <w:sz w:val="22"/>
                <w:szCs w:val="22"/>
              </w:rPr>
              <w:t>These are to:</w:t>
            </w:r>
            <w:r w:rsidRPr="00055B75">
              <w:rPr>
                <w:rFonts w:ascii="Calibri" w:hAnsi="Calibri"/>
                <w:sz w:val="22"/>
                <w:szCs w:val="22"/>
              </w:rPr>
              <w:t xml:space="preserve"> </w:t>
            </w:r>
          </w:p>
          <w:p w:rsidR="008E38A9" w:rsidRPr="00055B75" w:rsidRDefault="008E38A9" w:rsidP="008E38A9">
            <w:pPr>
              <w:pStyle w:val="BodyTextIndent"/>
              <w:numPr>
                <w:ilvl w:val="0"/>
                <w:numId w:val="2"/>
              </w:numPr>
              <w:ind w:left="714" w:hanging="357"/>
              <w:rPr>
                <w:rFonts w:ascii="Calibri" w:hAnsi="Calibri"/>
                <w:sz w:val="22"/>
                <w:szCs w:val="22"/>
              </w:rPr>
            </w:pPr>
            <w:r w:rsidRPr="00055B75">
              <w:rPr>
                <w:rFonts w:ascii="Calibri" w:hAnsi="Calibri"/>
                <w:sz w:val="22"/>
                <w:szCs w:val="22"/>
              </w:rPr>
              <w:t>Enhancing the quality of life for people with long term conditions</w:t>
            </w:r>
          </w:p>
          <w:p w:rsidR="008E38A9" w:rsidRPr="00055B75" w:rsidRDefault="008E38A9" w:rsidP="008E38A9">
            <w:pPr>
              <w:pStyle w:val="BodyTextIndent"/>
              <w:numPr>
                <w:ilvl w:val="0"/>
                <w:numId w:val="2"/>
              </w:numPr>
              <w:spacing w:before="0"/>
              <w:ind w:left="714" w:hanging="357"/>
              <w:rPr>
                <w:rFonts w:ascii="Calibri" w:hAnsi="Calibri"/>
                <w:sz w:val="22"/>
                <w:szCs w:val="22"/>
              </w:rPr>
            </w:pPr>
            <w:r w:rsidRPr="00055B75">
              <w:rPr>
                <w:rFonts w:ascii="Calibri" w:hAnsi="Calibri"/>
                <w:sz w:val="22"/>
                <w:szCs w:val="22"/>
              </w:rPr>
              <w:t>Helping people to recover from episodes of ill health or following injury;</w:t>
            </w:r>
          </w:p>
          <w:p w:rsidR="008E38A9" w:rsidRPr="00055B75" w:rsidRDefault="008E38A9" w:rsidP="008E38A9">
            <w:pPr>
              <w:pStyle w:val="BodyTextIndent"/>
              <w:numPr>
                <w:ilvl w:val="0"/>
                <w:numId w:val="2"/>
              </w:numPr>
              <w:spacing w:before="0"/>
              <w:ind w:left="714" w:hanging="357"/>
              <w:rPr>
                <w:rFonts w:ascii="Calibri" w:hAnsi="Calibri"/>
                <w:sz w:val="22"/>
                <w:szCs w:val="22"/>
              </w:rPr>
            </w:pPr>
            <w:r w:rsidRPr="00055B75">
              <w:rPr>
                <w:rFonts w:ascii="Calibri" w:hAnsi="Calibri"/>
                <w:sz w:val="22"/>
                <w:szCs w:val="22"/>
              </w:rPr>
              <w:t xml:space="preserve">Ensuring people have a positive experience of care; and </w:t>
            </w:r>
          </w:p>
          <w:p w:rsidR="008E38A9" w:rsidRPr="00055B75" w:rsidRDefault="008E38A9" w:rsidP="008E38A9">
            <w:pPr>
              <w:pStyle w:val="BodyTextIndent"/>
              <w:numPr>
                <w:ilvl w:val="0"/>
                <w:numId w:val="2"/>
              </w:numPr>
              <w:spacing w:before="0" w:after="120"/>
              <w:ind w:left="714" w:hanging="357"/>
              <w:rPr>
                <w:rFonts w:ascii="Calibri" w:hAnsi="Calibri"/>
                <w:sz w:val="22"/>
                <w:szCs w:val="22"/>
              </w:rPr>
            </w:pPr>
            <w:r w:rsidRPr="00055B75">
              <w:rPr>
                <w:rFonts w:ascii="Calibri" w:hAnsi="Calibri"/>
                <w:sz w:val="22"/>
                <w:szCs w:val="22"/>
              </w:rPr>
              <w:t>Treating people in a safe environment and protecting them from avoidable harm.</w:t>
            </w:r>
          </w:p>
          <w:p w:rsidR="008E38A9" w:rsidRPr="00055B75" w:rsidRDefault="008E38A9" w:rsidP="008E38A9">
            <w:pPr>
              <w:pStyle w:val="BodyTextIndent"/>
              <w:spacing w:before="0"/>
              <w:ind w:left="0"/>
              <w:rPr>
                <w:rFonts w:ascii="Calibri" w:hAnsi="Calibri"/>
                <w:b/>
                <w:i/>
                <w:iCs/>
                <w:sz w:val="22"/>
                <w:szCs w:val="22"/>
              </w:rPr>
            </w:pPr>
            <w:r w:rsidRPr="00055B75">
              <w:rPr>
                <w:rFonts w:ascii="Calibri" w:hAnsi="Calibri"/>
                <w:b/>
                <w:i/>
                <w:iCs/>
                <w:sz w:val="22"/>
                <w:szCs w:val="22"/>
              </w:rPr>
              <w:t xml:space="preserve">The aim is to achieve the above objectives through shift of resource from </w:t>
            </w:r>
            <w:r w:rsidR="00861DA3" w:rsidRPr="00055B75">
              <w:rPr>
                <w:rFonts w:ascii="Calibri" w:hAnsi="Calibri"/>
                <w:b/>
                <w:i/>
                <w:iCs/>
                <w:sz w:val="22"/>
                <w:szCs w:val="22"/>
              </w:rPr>
              <w:t xml:space="preserve">the </w:t>
            </w:r>
            <w:r w:rsidRPr="00055B75">
              <w:rPr>
                <w:rFonts w:ascii="Calibri" w:hAnsi="Calibri"/>
                <w:b/>
                <w:i/>
                <w:iCs/>
                <w:sz w:val="22"/>
                <w:szCs w:val="22"/>
              </w:rPr>
              <w:t xml:space="preserve">orthopaedic </w:t>
            </w:r>
            <w:r w:rsidR="00861DA3" w:rsidRPr="00055B75">
              <w:rPr>
                <w:rFonts w:ascii="Calibri" w:hAnsi="Calibri"/>
                <w:b/>
                <w:i/>
                <w:iCs/>
                <w:sz w:val="22"/>
                <w:szCs w:val="22"/>
              </w:rPr>
              <w:t xml:space="preserve">service </w:t>
            </w:r>
            <w:r w:rsidRPr="00055B75">
              <w:rPr>
                <w:rFonts w:ascii="Calibri" w:hAnsi="Calibri"/>
                <w:b/>
                <w:i/>
                <w:iCs/>
                <w:sz w:val="22"/>
                <w:szCs w:val="22"/>
              </w:rPr>
              <w:t>to physiotherapy</w:t>
            </w:r>
            <w:r w:rsidR="00861DA3" w:rsidRPr="00055B75">
              <w:rPr>
                <w:rFonts w:ascii="Calibri" w:hAnsi="Calibri"/>
                <w:b/>
                <w:i/>
                <w:iCs/>
                <w:sz w:val="22"/>
                <w:szCs w:val="22"/>
              </w:rPr>
              <w:t>.</w:t>
            </w:r>
          </w:p>
          <w:p w:rsidR="008E38A9" w:rsidRPr="00055B75" w:rsidRDefault="008E38A9" w:rsidP="008E38A9">
            <w:pPr>
              <w:pStyle w:val="BodyTextIndent"/>
              <w:spacing w:before="0"/>
              <w:ind w:left="0"/>
              <w:rPr>
                <w:rFonts w:ascii="Calibri" w:hAnsi="Calibri"/>
                <w:iCs/>
                <w:sz w:val="22"/>
                <w:szCs w:val="22"/>
              </w:rPr>
            </w:pPr>
          </w:p>
          <w:p w:rsidR="008E38A9" w:rsidRPr="00055B75" w:rsidRDefault="00A52E48" w:rsidP="008E38A9">
            <w:pPr>
              <w:pStyle w:val="BodyTextIndent"/>
              <w:spacing w:before="0"/>
              <w:ind w:left="0"/>
              <w:rPr>
                <w:rFonts w:ascii="Calibri" w:hAnsi="Calibri"/>
                <w:b/>
                <w:iCs/>
                <w:sz w:val="22"/>
                <w:szCs w:val="22"/>
              </w:rPr>
            </w:pPr>
            <w:r w:rsidRPr="00055B75">
              <w:rPr>
                <w:rFonts w:ascii="Calibri" w:hAnsi="Calibri"/>
                <w:b/>
                <w:iCs/>
                <w:sz w:val="22"/>
                <w:szCs w:val="22"/>
              </w:rPr>
              <w:t>The S</w:t>
            </w:r>
            <w:r w:rsidR="008E38A9" w:rsidRPr="00055B75">
              <w:rPr>
                <w:rFonts w:ascii="Calibri" w:hAnsi="Calibri"/>
                <w:b/>
                <w:iCs/>
                <w:sz w:val="22"/>
                <w:szCs w:val="22"/>
              </w:rPr>
              <w:t>ervice model</w:t>
            </w:r>
          </w:p>
          <w:p w:rsidR="008E38A9" w:rsidRPr="00055B75" w:rsidRDefault="00A52E48" w:rsidP="00861DA3">
            <w:pPr>
              <w:pStyle w:val="BodyTextIndent"/>
              <w:spacing w:before="0"/>
              <w:ind w:left="0"/>
              <w:rPr>
                <w:rFonts w:ascii="Calibri" w:hAnsi="Calibri"/>
                <w:sz w:val="22"/>
                <w:szCs w:val="22"/>
              </w:rPr>
            </w:pPr>
            <w:r w:rsidRPr="00055B75">
              <w:rPr>
                <w:rFonts w:ascii="Calibri" w:hAnsi="Calibri" w:cs="Arial"/>
                <w:sz w:val="22"/>
                <w:szCs w:val="22"/>
              </w:rPr>
              <w:t>A new</w:t>
            </w:r>
            <w:r w:rsidR="008E38A9" w:rsidRPr="00055B75">
              <w:rPr>
                <w:rFonts w:ascii="Calibri" w:hAnsi="Calibri" w:cs="Arial"/>
                <w:sz w:val="22"/>
                <w:szCs w:val="22"/>
              </w:rPr>
              <w:t xml:space="preserve"> Spinal pathway </w:t>
            </w:r>
            <w:r w:rsidRPr="00055B75">
              <w:rPr>
                <w:rFonts w:ascii="Calibri" w:hAnsi="Calibri" w:cs="Arial"/>
                <w:sz w:val="22"/>
                <w:szCs w:val="22"/>
              </w:rPr>
              <w:t xml:space="preserve">will </w:t>
            </w:r>
            <w:r w:rsidR="008E38A9" w:rsidRPr="00055B75">
              <w:rPr>
                <w:rFonts w:ascii="Calibri" w:hAnsi="Calibri" w:cs="Arial"/>
                <w:sz w:val="22"/>
                <w:szCs w:val="22"/>
              </w:rPr>
              <w:t xml:space="preserve">facilitate </w:t>
            </w:r>
            <w:r w:rsidR="008E38A9" w:rsidRPr="00055B75">
              <w:rPr>
                <w:rFonts w:ascii="Calibri" w:hAnsi="Calibri" w:cs="Arial"/>
                <w:b/>
                <w:sz w:val="22"/>
                <w:szCs w:val="22"/>
              </w:rPr>
              <w:t>community</w:t>
            </w:r>
            <w:r w:rsidR="008E38A9" w:rsidRPr="00055B75">
              <w:rPr>
                <w:rFonts w:ascii="Calibri" w:hAnsi="Calibri" w:cs="Arial"/>
                <w:sz w:val="22"/>
                <w:szCs w:val="22"/>
              </w:rPr>
              <w:t xml:space="preserve"> based access to </w:t>
            </w:r>
            <w:r w:rsidRPr="00055B75">
              <w:rPr>
                <w:rFonts w:ascii="Calibri" w:hAnsi="Calibri" w:cs="Arial"/>
                <w:sz w:val="22"/>
                <w:szCs w:val="22"/>
              </w:rPr>
              <w:t xml:space="preserve">Specialist </w:t>
            </w:r>
            <w:r w:rsidR="008E38A9" w:rsidRPr="00055B75">
              <w:rPr>
                <w:rFonts w:ascii="Calibri" w:hAnsi="Calibri" w:cs="Arial"/>
                <w:sz w:val="22"/>
                <w:szCs w:val="22"/>
              </w:rPr>
              <w:t xml:space="preserve">Musculoskeletal services by providing a single point of rapid access for patients with low back pain </w:t>
            </w:r>
            <w:r w:rsidRPr="00055B75">
              <w:rPr>
                <w:rFonts w:ascii="Calibri" w:hAnsi="Calibri" w:cs="Arial"/>
                <w:sz w:val="22"/>
                <w:szCs w:val="22"/>
              </w:rPr>
              <w:t>to</w:t>
            </w:r>
            <w:r w:rsidR="008E38A9" w:rsidRPr="00055B75">
              <w:rPr>
                <w:rFonts w:ascii="Calibri" w:hAnsi="Calibri" w:cs="Arial"/>
                <w:sz w:val="22"/>
                <w:szCs w:val="22"/>
              </w:rPr>
              <w:t xml:space="preserve"> a seamless, evidence-based pathway of clinical care.  </w:t>
            </w:r>
            <w:r w:rsidRPr="00055B75">
              <w:rPr>
                <w:rFonts w:ascii="Calibri" w:hAnsi="Calibri" w:cs="Arial"/>
                <w:sz w:val="22"/>
                <w:szCs w:val="22"/>
              </w:rPr>
              <w:t>Adherence to the pathway will ensure</w:t>
            </w:r>
            <w:r w:rsidR="008E38A9" w:rsidRPr="00055B75">
              <w:rPr>
                <w:rFonts w:ascii="Calibri" w:hAnsi="Calibri" w:cs="Arial"/>
                <w:sz w:val="22"/>
                <w:szCs w:val="22"/>
              </w:rPr>
              <w:t xml:space="preserve"> effective management of back pain and reduces the number of consultations necessary with GPs</w:t>
            </w:r>
            <w:r w:rsidR="00F908FA" w:rsidRPr="00055B75">
              <w:rPr>
                <w:rFonts w:ascii="Calibri" w:hAnsi="Calibri" w:cs="Arial"/>
                <w:sz w:val="22"/>
                <w:szCs w:val="22"/>
              </w:rPr>
              <w:t>, orthopaedic hospital departments</w:t>
            </w:r>
            <w:r w:rsidR="008E38A9" w:rsidRPr="00055B75">
              <w:rPr>
                <w:rFonts w:ascii="Calibri" w:hAnsi="Calibri" w:cs="Arial"/>
                <w:sz w:val="22"/>
                <w:szCs w:val="22"/>
              </w:rPr>
              <w:t xml:space="preserve"> and other healthcare professionals whilst improving w</w:t>
            </w:r>
            <w:r w:rsidRPr="00055B75">
              <w:rPr>
                <w:rFonts w:ascii="Calibri" w:hAnsi="Calibri" w:cs="Arial"/>
                <w:sz w:val="22"/>
                <w:szCs w:val="22"/>
              </w:rPr>
              <w:t xml:space="preserve">aiting times and shortening </w:t>
            </w:r>
            <w:r w:rsidR="008E38A9" w:rsidRPr="00055B75">
              <w:rPr>
                <w:rFonts w:ascii="Calibri" w:hAnsi="Calibri" w:cs="Arial"/>
                <w:sz w:val="22"/>
                <w:szCs w:val="22"/>
              </w:rPr>
              <w:t>patient journey.</w:t>
            </w:r>
          </w:p>
        </w:tc>
      </w:tr>
    </w:tbl>
    <w:p w:rsidR="00830CB7" w:rsidRDefault="00830CB7" w:rsidP="00830CB7">
      <w:pPr>
        <w:rPr>
          <w:rFonts w:ascii="Arial" w:hAnsi="Arial" w:cs="Arial"/>
          <w:b/>
        </w:rPr>
      </w:pPr>
    </w:p>
    <w:p w:rsidR="00830CB7" w:rsidRDefault="00830CB7" w:rsidP="00830CB7">
      <w:pPr>
        <w:rPr>
          <w:rFonts w:ascii="Arial" w:hAnsi="Arial" w:cs="Arial"/>
          <w:b/>
        </w:rPr>
      </w:pPr>
    </w:p>
    <w:p w:rsidR="00830CB7" w:rsidRDefault="00830CB7" w:rsidP="00830CB7">
      <w:pPr>
        <w:rPr>
          <w:rFonts w:ascii="Arial" w:hAnsi="Arial" w:cs="Arial"/>
          <w:b/>
        </w:rPr>
      </w:pPr>
    </w:p>
    <w:p w:rsidR="00830CB7" w:rsidRDefault="00830CB7" w:rsidP="00830CB7">
      <w:pPr>
        <w:rPr>
          <w:rFonts w:ascii="Arial" w:hAnsi="Arial" w:cs="Arial"/>
          <w:b/>
        </w:rPr>
      </w:pPr>
    </w:p>
    <w:p w:rsidR="00830CB7" w:rsidRDefault="00830CB7" w:rsidP="00830CB7">
      <w:pPr>
        <w:rPr>
          <w:rFonts w:ascii="Arial" w:hAnsi="Arial" w:cs="Arial"/>
          <w:b/>
        </w:rPr>
      </w:pPr>
      <w:r>
        <w:rPr>
          <w:rFonts w:ascii="Arial" w:hAnsi="Arial" w:cs="Arial"/>
          <w:b/>
        </w:rPr>
        <w:br w:type="page"/>
      </w:r>
    </w:p>
    <w:tbl>
      <w:tblPr>
        <w:tblpPr w:leftFromText="180" w:rightFromText="180" w:horzAnchor="margin" w:tblpY="-255"/>
        <w:tblW w:w="9312" w:type="dxa"/>
        <w:tblBorders>
          <w:top w:val="single" w:sz="4" w:space="0" w:color="0070C0"/>
          <w:left w:val="single" w:sz="4" w:space="0" w:color="0070C0"/>
          <w:bottom w:val="single" w:sz="4" w:space="0" w:color="0070C0"/>
          <w:right w:val="single" w:sz="4" w:space="0" w:color="0070C0"/>
        </w:tblBorders>
        <w:tblLook w:val="01E0"/>
      </w:tblPr>
      <w:tblGrid>
        <w:gridCol w:w="9312"/>
      </w:tblGrid>
      <w:tr w:rsidR="00830CB7" w:rsidRPr="00FE6F55">
        <w:trPr>
          <w:trHeight w:val="695"/>
        </w:trPr>
        <w:tc>
          <w:tcPr>
            <w:tcW w:w="9312" w:type="dxa"/>
            <w:shd w:val="clear" w:color="auto" w:fill="002060"/>
          </w:tcPr>
          <w:p w:rsidR="00830CB7" w:rsidRPr="0090531E" w:rsidRDefault="00830CB7" w:rsidP="0030224F">
            <w:pPr>
              <w:shd w:val="clear" w:color="auto" w:fill="0070C0"/>
              <w:rPr>
                <w:rFonts w:ascii="Calibri" w:hAnsi="Calibri" w:cs="Arial"/>
                <w:b/>
                <w:color w:val="FFFFFF"/>
                <w:szCs w:val="22"/>
              </w:rPr>
            </w:pPr>
            <w:r w:rsidRPr="0090531E">
              <w:rPr>
                <w:rFonts w:ascii="Calibri" w:hAnsi="Calibri" w:cs="Arial"/>
                <w:b/>
                <w:color w:val="FFFFFF"/>
                <w:szCs w:val="22"/>
              </w:rPr>
              <w:br w:type="page"/>
            </w:r>
          </w:p>
          <w:p w:rsidR="00830CB7" w:rsidRPr="0090531E" w:rsidRDefault="00830CB7" w:rsidP="0030224F">
            <w:pPr>
              <w:shd w:val="clear" w:color="auto" w:fill="0070C0"/>
              <w:rPr>
                <w:rFonts w:ascii="Calibri" w:hAnsi="Calibri" w:cs="Arial"/>
                <w:b/>
                <w:color w:val="FFFFFF"/>
                <w:szCs w:val="22"/>
              </w:rPr>
            </w:pPr>
            <w:r w:rsidRPr="0090531E">
              <w:rPr>
                <w:rFonts w:ascii="Calibri" w:hAnsi="Calibri" w:cs="Arial"/>
                <w:b/>
                <w:color w:val="FFFFFF"/>
                <w:szCs w:val="22"/>
              </w:rPr>
              <w:t xml:space="preserve">MAIN ASSUMPTIONS </w:t>
            </w:r>
          </w:p>
        </w:tc>
      </w:tr>
      <w:tr w:rsidR="00830CB7" w:rsidRPr="00DE2CA1" w:rsidTr="00861DA3">
        <w:trPr>
          <w:trHeight w:val="6237"/>
        </w:trPr>
        <w:tc>
          <w:tcPr>
            <w:tcW w:w="9312" w:type="dxa"/>
          </w:tcPr>
          <w:p w:rsidR="00830CB7" w:rsidRPr="00DE2CA1" w:rsidRDefault="00830CB7" w:rsidP="0030224F">
            <w:pPr>
              <w:rPr>
                <w:rFonts w:ascii="Calibri" w:hAnsi="Calibri"/>
                <w:sz w:val="22"/>
                <w:szCs w:val="22"/>
              </w:rPr>
            </w:pPr>
            <w:r w:rsidRPr="00DE2CA1">
              <w:rPr>
                <w:rFonts w:ascii="Calibri" w:hAnsi="Calibri"/>
                <w:sz w:val="22"/>
                <w:szCs w:val="22"/>
              </w:rPr>
              <w:t xml:space="preserve">Low back pain is </w:t>
            </w:r>
            <w:r w:rsidR="00F908FA">
              <w:rPr>
                <w:rFonts w:ascii="Calibri" w:hAnsi="Calibri"/>
                <w:sz w:val="22"/>
                <w:szCs w:val="22"/>
              </w:rPr>
              <w:t>a common medical complaint</w:t>
            </w:r>
            <w:r w:rsidRPr="00DE2CA1">
              <w:rPr>
                <w:rFonts w:ascii="Calibri" w:hAnsi="Calibri"/>
                <w:sz w:val="22"/>
                <w:szCs w:val="22"/>
              </w:rPr>
              <w:t xml:space="preserve"> affecting around one in three of the general adult population of which 20% (or 2.6m people) go on to consult their GP about the condition.  </w:t>
            </w:r>
          </w:p>
          <w:p w:rsidR="00830CB7" w:rsidRPr="00DE2CA1" w:rsidRDefault="00830CB7" w:rsidP="0030224F">
            <w:pPr>
              <w:rPr>
                <w:rFonts w:ascii="Calibri" w:hAnsi="Calibri"/>
                <w:sz w:val="22"/>
                <w:szCs w:val="22"/>
              </w:rPr>
            </w:pPr>
          </w:p>
          <w:p w:rsidR="00830CB7" w:rsidRPr="00DE2CA1" w:rsidRDefault="00830CB7" w:rsidP="0030224F">
            <w:pPr>
              <w:rPr>
                <w:rFonts w:ascii="Calibri" w:hAnsi="Calibri"/>
                <w:sz w:val="22"/>
                <w:szCs w:val="22"/>
              </w:rPr>
            </w:pPr>
            <w:r w:rsidRPr="00DE2CA1">
              <w:rPr>
                <w:rFonts w:ascii="Calibri" w:hAnsi="Calibri"/>
                <w:sz w:val="22"/>
                <w:szCs w:val="22"/>
              </w:rPr>
              <w:t>The definition and management of non specific low back pain is covered by NICE Clinical Guideline 88 (</w:t>
            </w:r>
            <w:hyperlink r:id="rId9" w:history="1">
              <w:r w:rsidRPr="00DE2CA1">
                <w:rPr>
                  <w:rStyle w:val="Hyperlink"/>
                  <w:rFonts w:ascii="Calibri" w:hAnsi="Calibri"/>
                  <w:sz w:val="22"/>
                  <w:szCs w:val="22"/>
                </w:rPr>
                <w:t>www.nice.org.uk/CG88fullguideline</w:t>
              </w:r>
            </w:hyperlink>
            <w:r w:rsidRPr="00DE2CA1">
              <w:rPr>
                <w:rFonts w:ascii="Calibri" w:hAnsi="Calibri"/>
                <w:sz w:val="22"/>
                <w:szCs w:val="22"/>
              </w:rPr>
              <w:t>) and therefore not repeated here.</w:t>
            </w:r>
          </w:p>
          <w:p w:rsidR="00830CB7" w:rsidRPr="00DE2CA1" w:rsidRDefault="00830CB7" w:rsidP="0030224F">
            <w:pPr>
              <w:rPr>
                <w:rFonts w:ascii="Calibri" w:hAnsi="Calibri"/>
                <w:sz w:val="22"/>
                <w:szCs w:val="22"/>
              </w:rPr>
            </w:pPr>
          </w:p>
          <w:p w:rsidR="00830CB7" w:rsidRDefault="00830CB7" w:rsidP="0030224F">
            <w:pPr>
              <w:rPr>
                <w:rFonts w:ascii="Calibri" w:hAnsi="Calibri"/>
                <w:sz w:val="22"/>
                <w:szCs w:val="22"/>
              </w:rPr>
            </w:pPr>
            <w:r w:rsidRPr="00DE2CA1">
              <w:rPr>
                <w:rFonts w:ascii="Calibri" w:hAnsi="Calibri"/>
                <w:sz w:val="22"/>
                <w:szCs w:val="22"/>
              </w:rPr>
              <w:t xml:space="preserve">For most people substantial back pain and disability are short term and most resume their daily living activities and work. Although it is estimated that 62% could have pain a year later and 16% who were unable to work initially may still not be </w:t>
            </w:r>
            <w:r w:rsidR="008820AA">
              <w:rPr>
                <w:rFonts w:ascii="Calibri" w:hAnsi="Calibri"/>
                <w:sz w:val="22"/>
                <w:szCs w:val="22"/>
              </w:rPr>
              <w:t>able to a year later (Morgan R.)</w:t>
            </w:r>
            <w:r w:rsidRPr="00DE2CA1">
              <w:rPr>
                <w:rFonts w:ascii="Calibri" w:hAnsi="Calibri"/>
                <w:sz w:val="22"/>
                <w:szCs w:val="22"/>
              </w:rPr>
              <w:t xml:space="preserve">  </w:t>
            </w:r>
            <w:hyperlink r:id="rId10" w:history="1">
              <w:r w:rsidRPr="00DE2CA1">
                <w:rPr>
                  <w:rStyle w:val="Hyperlink"/>
                  <w:rFonts w:ascii="Calibri" w:hAnsi="Calibri"/>
                  <w:sz w:val="22"/>
                  <w:szCs w:val="22"/>
                </w:rPr>
                <w:t>www.painrelieffoundation.org.uk/docs/essaywinner2009</w:t>
              </w:r>
            </w:hyperlink>
            <w:r w:rsidRPr="00DE2CA1">
              <w:rPr>
                <w:rFonts w:ascii="Calibri" w:hAnsi="Calibri"/>
                <w:sz w:val="22"/>
                <w:szCs w:val="22"/>
              </w:rPr>
              <w:t>).</w:t>
            </w:r>
          </w:p>
          <w:p w:rsidR="008820AA" w:rsidRDefault="008820AA" w:rsidP="0030224F">
            <w:pPr>
              <w:rPr>
                <w:rFonts w:ascii="Calibri" w:hAnsi="Calibri"/>
                <w:sz w:val="22"/>
                <w:szCs w:val="22"/>
              </w:rPr>
            </w:pPr>
          </w:p>
          <w:p w:rsidR="008820AA" w:rsidRDefault="008820AA" w:rsidP="0030224F">
            <w:pPr>
              <w:rPr>
                <w:rFonts w:ascii="Calibri" w:hAnsi="Calibri"/>
                <w:sz w:val="22"/>
                <w:szCs w:val="22"/>
              </w:rPr>
            </w:pPr>
            <w:r>
              <w:rPr>
                <w:rFonts w:ascii="Calibri" w:hAnsi="Calibri"/>
                <w:sz w:val="22"/>
                <w:szCs w:val="22"/>
              </w:rPr>
              <w:t xml:space="preserve">Despite the above guidelines considerable variation in practice patterns are noted across services and organisations in the management of low back pain and clinical review. </w:t>
            </w:r>
            <w:proofErr w:type="spellStart"/>
            <w:r>
              <w:rPr>
                <w:rFonts w:ascii="Calibri" w:hAnsi="Calibri"/>
                <w:sz w:val="22"/>
                <w:szCs w:val="22"/>
              </w:rPr>
              <w:t>Koes</w:t>
            </w:r>
            <w:proofErr w:type="spellEnd"/>
            <w:r>
              <w:rPr>
                <w:rFonts w:ascii="Calibri" w:hAnsi="Calibri"/>
                <w:sz w:val="22"/>
                <w:szCs w:val="22"/>
              </w:rPr>
              <w:t xml:space="preserve"> et al 2006 also highlighted ongoing difficulties associated with diagnosis and subsequent interventions.</w:t>
            </w:r>
          </w:p>
          <w:p w:rsidR="0030224F" w:rsidRPr="00DE2CA1" w:rsidRDefault="0030224F" w:rsidP="0030224F">
            <w:pPr>
              <w:rPr>
                <w:rFonts w:ascii="Calibri" w:hAnsi="Calibri"/>
                <w:sz w:val="22"/>
                <w:szCs w:val="22"/>
              </w:rPr>
            </w:pPr>
            <w:r>
              <w:rPr>
                <w:rFonts w:ascii="Calibri" w:hAnsi="Calibri"/>
                <w:sz w:val="22"/>
                <w:szCs w:val="22"/>
              </w:rPr>
              <w:t>www.bmj.com/content/3327/7555/1430.full</w:t>
            </w:r>
          </w:p>
          <w:p w:rsidR="008820AA" w:rsidRDefault="008820AA" w:rsidP="0030224F">
            <w:pPr>
              <w:rPr>
                <w:rFonts w:ascii="Calibri" w:hAnsi="Calibri"/>
                <w:sz w:val="22"/>
                <w:szCs w:val="22"/>
              </w:rPr>
            </w:pPr>
          </w:p>
          <w:p w:rsidR="00B32366" w:rsidRDefault="00861DA3" w:rsidP="0030224F">
            <w:pPr>
              <w:rPr>
                <w:rFonts w:ascii="Calibri" w:hAnsi="Calibri"/>
                <w:sz w:val="22"/>
                <w:szCs w:val="22"/>
              </w:rPr>
            </w:pPr>
            <w:r>
              <w:rPr>
                <w:rFonts w:ascii="Calibri" w:hAnsi="Calibri"/>
                <w:sz w:val="22"/>
                <w:szCs w:val="22"/>
              </w:rPr>
              <w:t>For example in Scotland O</w:t>
            </w:r>
            <w:r w:rsidR="00B32366">
              <w:rPr>
                <w:rFonts w:ascii="Calibri" w:hAnsi="Calibri"/>
                <w:sz w:val="22"/>
                <w:szCs w:val="22"/>
              </w:rPr>
              <w:t>rthopaedic spend</w:t>
            </w:r>
            <w:r>
              <w:rPr>
                <w:rFonts w:ascii="Calibri" w:hAnsi="Calibri"/>
                <w:sz w:val="22"/>
                <w:szCs w:val="22"/>
              </w:rPr>
              <w:t xml:space="preserve"> </w:t>
            </w:r>
            <w:r w:rsidR="00B32366">
              <w:rPr>
                <w:rFonts w:ascii="Calibri" w:hAnsi="Calibri"/>
                <w:sz w:val="22"/>
                <w:szCs w:val="22"/>
              </w:rPr>
              <w:t xml:space="preserve">has increased from £180 million in 1999/2000 to over £360 million in </w:t>
            </w:r>
            <w:r w:rsidR="00F908FA">
              <w:rPr>
                <w:rFonts w:ascii="Calibri" w:hAnsi="Calibri"/>
                <w:sz w:val="22"/>
                <w:szCs w:val="22"/>
              </w:rPr>
              <w:t xml:space="preserve">2007/2008 (Audit Scotland 2009). </w:t>
            </w:r>
          </w:p>
          <w:p w:rsidR="00B32366" w:rsidRDefault="00B32366" w:rsidP="0030224F">
            <w:pPr>
              <w:rPr>
                <w:rFonts w:ascii="Calibri" w:hAnsi="Calibri"/>
                <w:sz w:val="22"/>
                <w:szCs w:val="22"/>
              </w:rPr>
            </w:pPr>
          </w:p>
          <w:p w:rsidR="00830CB7" w:rsidRPr="0030224F" w:rsidRDefault="008820AA" w:rsidP="00861DA3">
            <w:pPr>
              <w:rPr>
                <w:rFonts w:ascii="Calibri" w:hAnsi="Calibri"/>
                <w:sz w:val="22"/>
                <w:szCs w:val="22"/>
              </w:rPr>
            </w:pPr>
            <w:r>
              <w:rPr>
                <w:rFonts w:ascii="Calibri" w:hAnsi="Calibri"/>
                <w:sz w:val="22"/>
                <w:szCs w:val="22"/>
              </w:rPr>
              <w:t>Physiotherapists are as effective as their surgical colleagues in initial referrals and management of new referrals to orthopaedic out-patient departments</w:t>
            </w:r>
            <w:r w:rsidR="00F908FA">
              <w:rPr>
                <w:rFonts w:ascii="Calibri" w:hAnsi="Calibri"/>
                <w:sz w:val="22"/>
                <w:szCs w:val="22"/>
              </w:rPr>
              <w:t xml:space="preserve"> for defined referrals</w:t>
            </w:r>
            <w:r w:rsidR="0030224F">
              <w:rPr>
                <w:rFonts w:ascii="Calibri" w:hAnsi="Calibri"/>
                <w:sz w:val="22"/>
                <w:szCs w:val="22"/>
              </w:rPr>
              <w:t xml:space="preserve">. Patient satisfaction is also higher in physiotherapy consultation. </w:t>
            </w:r>
            <w:r>
              <w:rPr>
                <w:rFonts w:ascii="Calibri" w:hAnsi="Calibri"/>
                <w:sz w:val="22"/>
                <w:szCs w:val="22"/>
              </w:rPr>
              <w:t>(Carr A 2007)</w:t>
            </w:r>
            <w:r w:rsidR="00861DA3">
              <w:rPr>
                <w:rFonts w:ascii="Calibri" w:hAnsi="Calibri"/>
                <w:sz w:val="22"/>
                <w:szCs w:val="22"/>
              </w:rPr>
              <w:t xml:space="preserve"> </w:t>
            </w:r>
            <w:hyperlink r:id="rId11" w:history="1">
              <w:r w:rsidRPr="00F944E7">
                <w:rPr>
                  <w:rStyle w:val="Hyperlink"/>
                  <w:rFonts w:ascii="Calibri" w:hAnsi="Calibri"/>
                  <w:sz w:val="22"/>
                  <w:szCs w:val="22"/>
                </w:rPr>
                <w:t>www.dh.gov.uk/en/Aboutus/Research</w:t>
              </w:r>
            </w:hyperlink>
            <w:r>
              <w:rPr>
                <w:rFonts w:ascii="Calibri" w:hAnsi="Calibri"/>
                <w:sz w:val="22"/>
                <w:szCs w:val="22"/>
              </w:rPr>
              <w:t xml:space="preserve"> </w:t>
            </w:r>
            <w:r w:rsidR="00861DA3">
              <w:rPr>
                <w:rFonts w:ascii="Calibri" w:hAnsi="Calibri"/>
                <w:sz w:val="22"/>
                <w:szCs w:val="22"/>
              </w:rPr>
              <w:t>.</w:t>
            </w:r>
          </w:p>
        </w:tc>
      </w:tr>
    </w:tbl>
    <w:p w:rsidR="00830CB7" w:rsidRDefault="00830CB7" w:rsidP="00830CB7">
      <w:pPr>
        <w:rPr>
          <w:rFonts w:ascii="Arial" w:hAnsi="Arial" w:cs="Arial"/>
          <w:b/>
        </w:rPr>
      </w:pPr>
    </w:p>
    <w:tbl>
      <w:tblPr>
        <w:tblW w:w="928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tblPr>
      <w:tblGrid>
        <w:gridCol w:w="9288"/>
      </w:tblGrid>
      <w:tr w:rsidR="00830CB7" w:rsidRPr="00FE6F55">
        <w:tc>
          <w:tcPr>
            <w:tcW w:w="9288" w:type="dxa"/>
            <w:shd w:val="clear" w:color="auto" w:fill="0070C0"/>
          </w:tcPr>
          <w:p w:rsidR="00830CB7" w:rsidRPr="00FB5974" w:rsidRDefault="00830CB7" w:rsidP="00830CB7">
            <w:pPr>
              <w:rPr>
                <w:rFonts w:ascii="Calibri" w:hAnsi="Calibri" w:cs="Arial"/>
                <w:b/>
                <w:color w:val="FFFFFF"/>
                <w:szCs w:val="22"/>
              </w:rPr>
            </w:pPr>
          </w:p>
          <w:p w:rsidR="00830CB7" w:rsidRPr="00A95639" w:rsidRDefault="00830CB7" w:rsidP="00830CB7">
            <w:pPr>
              <w:rPr>
                <w:rFonts w:ascii="Calibri" w:hAnsi="Calibri" w:cs="Arial"/>
                <w:b/>
                <w:color w:val="FFFFFF"/>
                <w:szCs w:val="22"/>
              </w:rPr>
            </w:pPr>
            <w:r w:rsidRPr="00FB5974">
              <w:rPr>
                <w:rFonts w:ascii="Calibri" w:hAnsi="Calibri" w:cs="Arial"/>
                <w:b/>
                <w:color w:val="FFFFFF"/>
                <w:szCs w:val="22"/>
              </w:rPr>
              <w:t>CONSTRAINTS</w:t>
            </w:r>
          </w:p>
        </w:tc>
      </w:tr>
      <w:tr w:rsidR="00830CB7" w:rsidRPr="00FE6F55">
        <w:tc>
          <w:tcPr>
            <w:tcW w:w="9288" w:type="dxa"/>
          </w:tcPr>
          <w:p w:rsidR="00B32366" w:rsidRDefault="00B32366" w:rsidP="00830CB7">
            <w:pPr>
              <w:rPr>
                <w:rFonts w:ascii="Calibri" w:hAnsi="Calibri"/>
                <w:sz w:val="22"/>
                <w:szCs w:val="22"/>
              </w:rPr>
            </w:pPr>
          </w:p>
          <w:p w:rsidR="00830CB7" w:rsidRPr="00FE6F55" w:rsidRDefault="00830CB7" w:rsidP="00830CB7">
            <w:pPr>
              <w:rPr>
                <w:rFonts w:ascii="Calibri" w:hAnsi="Calibri"/>
                <w:sz w:val="22"/>
                <w:szCs w:val="22"/>
              </w:rPr>
            </w:pPr>
            <w:r w:rsidRPr="00FE6F55">
              <w:rPr>
                <w:rFonts w:ascii="Calibri" w:hAnsi="Calibri"/>
                <w:sz w:val="22"/>
                <w:szCs w:val="22"/>
              </w:rPr>
              <w:t>The key constraints are:</w:t>
            </w:r>
          </w:p>
          <w:p w:rsidR="00830CB7" w:rsidRPr="00FE6F55" w:rsidRDefault="00830CB7" w:rsidP="00830CB7">
            <w:pPr>
              <w:rPr>
                <w:rFonts w:ascii="Calibri" w:hAnsi="Calibri"/>
                <w:sz w:val="22"/>
                <w:szCs w:val="22"/>
              </w:rPr>
            </w:pPr>
            <w:r w:rsidRPr="00FE6F55">
              <w:rPr>
                <w:rFonts w:ascii="Calibri" w:hAnsi="Calibri"/>
                <w:b/>
                <w:sz w:val="22"/>
                <w:szCs w:val="22"/>
              </w:rPr>
              <w:t xml:space="preserve">Resources: </w:t>
            </w:r>
            <w:r w:rsidR="00AC2CB6">
              <w:rPr>
                <w:rFonts w:ascii="Calibri" w:hAnsi="Calibri"/>
                <w:sz w:val="22"/>
                <w:szCs w:val="22"/>
              </w:rPr>
              <w:t xml:space="preserve">Shift in resource from orthopaedic secondary care to specialist physiotherapy care is required to ensure pathway success. </w:t>
            </w:r>
            <w:r w:rsidRPr="00FE6F55">
              <w:rPr>
                <w:rFonts w:ascii="Calibri" w:hAnsi="Calibri" w:cs="Arial"/>
                <w:sz w:val="22"/>
                <w:szCs w:val="22"/>
              </w:rPr>
              <w:t xml:space="preserve">  </w:t>
            </w:r>
          </w:p>
          <w:p w:rsidR="00830CB7" w:rsidRPr="00FE6F55" w:rsidRDefault="00830CB7" w:rsidP="00830CB7">
            <w:pPr>
              <w:rPr>
                <w:rFonts w:ascii="Calibri" w:hAnsi="Calibri"/>
                <w:sz w:val="22"/>
                <w:szCs w:val="22"/>
              </w:rPr>
            </w:pPr>
          </w:p>
          <w:p w:rsidR="00830CB7" w:rsidRPr="00FE6F55" w:rsidRDefault="00830CB7" w:rsidP="00830CB7">
            <w:pPr>
              <w:rPr>
                <w:rFonts w:ascii="Calibri" w:hAnsi="Calibri" w:cs="Arial"/>
                <w:sz w:val="22"/>
                <w:szCs w:val="22"/>
              </w:rPr>
            </w:pPr>
            <w:r w:rsidRPr="00FE6F55">
              <w:rPr>
                <w:rFonts w:ascii="Calibri" w:hAnsi="Calibri"/>
                <w:b/>
                <w:sz w:val="22"/>
                <w:szCs w:val="22"/>
              </w:rPr>
              <w:t>Data</w:t>
            </w:r>
            <w:r w:rsidRPr="00FE6F55">
              <w:rPr>
                <w:rFonts w:ascii="Calibri" w:hAnsi="Calibri"/>
                <w:sz w:val="22"/>
                <w:szCs w:val="22"/>
              </w:rPr>
              <w:t xml:space="preserve">: </w:t>
            </w:r>
            <w:r w:rsidR="00B1315C">
              <w:rPr>
                <w:rFonts w:ascii="Calibri" w:hAnsi="Calibri"/>
                <w:sz w:val="22"/>
                <w:szCs w:val="22"/>
              </w:rPr>
              <w:t xml:space="preserve">Robust data </w:t>
            </w:r>
            <w:r w:rsidR="00F908FA">
              <w:rPr>
                <w:rFonts w:ascii="Calibri" w:hAnsi="Calibri"/>
                <w:sz w:val="22"/>
                <w:szCs w:val="22"/>
              </w:rPr>
              <w:t>and rigorous evaluation is essential</w:t>
            </w:r>
            <w:r w:rsidR="00AC2CB6">
              <w:rPr>
                <w:rFonts w:ascii="Calibri" w:hAnsi="Calibri"/>
                <w:sz w:val="22"/>
                <w:szCs w:val="22"/>
              </w:rPr>
              <w:t>.</w:t>
            </w:r>
            <w:r w:rsidR="00F908FA">
              <w:rPr>
                <w:rFonts w:ascii="Calibri" w:hAnsi="Calibri"/>
                <w:sz w:val="22"/>
                <w:szCs w:val="22"/>
              </w:rPr>
              <w:t xml:space="preserve"> </w:t>
            </w:r>
            <w:r w:rsidR="00AC2CB6">
              <w:rPr>
                <w:rFonts w:ascii="Calibri" w:hAnsi="Calibri"/>
                <w:sz w:val="22"/>
                <w:szCs w:val="22"/>
              </w:rPr>
              <w:t xml:space="preserve"> Its completeness </w:t>
            </w:r>
            <w:r w:rsidR="00F908FA">
              <w:rPr>
                <w:rFonts w:ascii="Calibri" w:hAnsi="Calibri" w:cs="Arial"/>
                <w:sz w:val="22"/>
                <w:szCs w:val="22"/>
              </w:rPr>
              <w:t>presents a challenge</w:t>
            </w:r>
            <w:r w:rsidRPr="00FE6F55">
              <w:rPr>
                <w:rFonts w:ascii="Calibri" w:hAnsi="Calibri" w:cs="Arial"/>
                <w:sz w:val="22"/>
                <w:szCs w:val="22"/>
              </w:rPr>
              <w:t xml:space="preserve"> but is an essential requirement for the organisation and the successful </w:t>
            </w:r>
            <w:r w:rsidR="00861DA3" w:rsidRPr="00FE6F55">
              <w:rPr>
                <w:rFonts w:ascii="Calibri" w:hAnsi="Calibri" w:cs="Arial"/>
                <w:sz w:val="22"/>
                <w:szCs w:val="22"/>
              </w:rPr>
              <w:t>provider.</w:t>
            </w:r>
            <w:r w:rsidR="00F908FA">
              <w:rPr>
                <w:rFonts w:ascii="Calibri" w:hAnsi="Calibri" w:cs="Arial"/>
                <w:sz w:val="22"/>
                <w:szCs w:val="22"/>
              </w:rPr>
              <w:t xml:space="preserve">  A detailed metrics framework will be provided for the development.</w:t>
            </w:r>
          </w:p>
          <w:p w:rsidR="00830CB7" w:rsidRPr="00FE6F55" w:rsidRDefault="00830CB7" w:rsidP="00830CB7">
            <w:pPr>
              <w:rPr>
                <w:rFonts w:ascii="Calibri" w:hAnsi="Calibri" w:cs="Arial"/>
                <w:sz w:val="22"/>
                <w:szCs w:val="22"/>
              </w:rPr>
            </w:pPr>
          </w:p>
          <w:p w:rsidR="00830CB7" w:rsidRPr="00FE6F55" w:rsidRDefault="00830CB7" w:rsidP="00830CB7">
            <w:pPr>
              <w:rPr>
                <w:rFonts w:ascii="Calibri" w:hAnsi="Calibri"/>
                <w:sz w:val="22"/>
                <w:szCs w:val="22"/>
              </w:rPr>
            </w:pPr>
            <w:r w:rsidRPr="00FE6F55">
              <w:rPr>
                <w:rFonts w:ascii="Calibri" w:hAnsi="Calibri"/>
                <w:b/>
                <w:sz w:val="22"/>
                <w:szCs w:val="22"/>
              </w:rPr>
              <w:t>Communication</w:t>
            </w:r>
            <w:r w:rsidR="00AC2CB6">
              <w:rPr>
                <w:rFonts w:ascii="Calibri" w:hAnsi="Calibri"/>
                <w:sz w:val="22"/>
                <w:szCs w:val="22"/>
              </w:rPr>
              <w:t xml:space="preserve">: </w:t>
            </w:r>
            <w:r w:rsidRPr="00FE6F55">
              <w:rPr>
                <w:rFonts w:ascii="Calibri" w:hAnsi="Calibri"/>
                <w:sz w:val="22"/>
                <w:szCs w:val="22"/>
              </w:rPr>
              <w:t xml:space="preserve"> ‘buy in’ from staff groups</w:t>
            </w:r>
            <w:r w:rsidR="00AC2CB6">
              <w:rPr>
                <w:rFonts w:ascii="Calibri" w:hAnsi="Calibri"/>
                <w:sz w:val="22"/>
                <w:szCs w:val="22"/>
              </w:rPr>
              <w:t>, managers, clinical leads and commissioners is required to ensure success.  The new model requires support, ongoing communication and commitment from GP, orthopaedic consultancy and physiotherapists involved</w:t>
            </w:r>
          </w:p>
          <w:p w:rsidR="00830CB7" w:rsidRPr="00FE6F55" w:rsidRDefault="00830CB7" w:rsidP="00830CB7">
            <w:pPr>
              <w:rPr>
                <w:rFonts w:ascii="Calibri" w:hAnsi="Calibri" w:cs="Arial"/>
                <w:b/>
                <w:sz w:val="22"/>
                <w:szCs w:val="22"/>
              </w:rPr>
            </w:pPr>
          </w:p>
        </w:tc>
      </w:tr>
    </w:tbl>
    <w:p w:rsidR="00B32366" w:rsidRDefault="00B32366" w:rsidP="00830CB7"/>
    <w:p w:rsidR="00B32366" w:rsidRDefault="00B32366" w:rsidP="00830CB7"/>
    <w:p w:rsidR="00861DA3" w:rsidRDefault="00861DA3" w:rsidP="00830CB7"/>
    <w:p w:rsidR="00861DA3" w:rsidRDefault="00861DA3" w:rsidP="00830CB7"/>
    <w:p w:rsidR="00861DA3" w:rsidRDefault="00861DA3" w:rsidP="00830CB7"/>
    <w:p w:rsidR="00B32366" w:rsidRDefault="00B32366" w:rsidP="00830CB7"/>
    <w:p w:rsidR="00B32366" w:rsidRDefault="00B32366" w:rsidP="00830CB7"/>
    <w:p w:rsidR="00B32366" w:rsidRDefault="00B32366" w:rsidP="00830CB7"/>
    <w:p w:rsidR="00B32366" w:rsidRDefault="00B32366" w:rsidP="00830CB7"/>
    <w:tbl>
      <w:tblPr>
        <w:tblW w:w="0" w:type="auto"/>
        <w:tblBorders>
          <w:top w:val="single" w:sz="4" w:space="0" w:color="0070C0"/>
          <w:left w:val="single" w:sz="4" w:space="0" w:color="0070C0"/>
          <w:bottom w:val="single" w:sz="4" w:space="0" w:color="0070C0"/>
          <w:right w:val="single" w:sz="4" w:space="0" w:color="0070C0"/>
        </w:tblBorders>
        <w:tblLook w:val="01E0"/>
      </w:tblPr>
      <w:tblGrid>
        <w:gridCol w:w="8522"/>
      </w:tblGrid>
      <w:tr w:rsidR="00830CB7" w:rsidRPr="00FE6F55">
        <w:tc>
          <w:tcPr>
            <w:tcW w:w="8522" w:type="dxa"/>
            <w:shd w:val="clear" w:color="auto" w:fill="0070C0"/>
          </w:tcPr>
          <w:p w:rsidR="00830CB7" w:rsidRPr="00FB5974" w:rsidRDefault="00830CB7" w:rsidP="00830CB7">
            <w:pPr>
              <w:rPr>
                <w:rFonts w:ascii="Calibri" w:hAnsi="Calibri" w:cs="Arial"/>
                <w:b/>
                <w:color w:val="FFFFFF"/>
                <w:szCs w:val="22"/>
              </w:rPr>
            </w:pPr>
          </w:p>
          <w:p w:rsidR="00830CB7" w:rsidRPr="00FB5974" w:rsidRDefault="00830CB7" w:rsidP="00830CB7">
            <w:pPr>
              <w:rPr>
                <w:rFonts w:ascii="Calibri" w:hAnsi="Calibri" w:cs="Arial"/>
                <w:b/>
                <w:color w:val="FFFFFF"/>
                <w:szCs w:val="22"/>
              </w:rPr>
            </w:pPr>
            <w:r w:rsidRPr="00FB5974">
              <w:rPr>
                <w:rFonts w:ascii="Calibri" w:hAnsi="Calibri" w:cs="Arial"/>
                <w:b/>
                <w:color w:val="FFFFFF"/>
                <w:szCs w:val="22"/>
              </w:rPr>
              <w:t xml:space="preserve">ANALYSIS OF OPTIONS </w:t>
            </w:r>
          </w:p>
        </w:tc>
      </w:tr>
      <w:tr w:rsidR="00830CB7" w:rsidRPr="00FE6F55">
        <w:tc>
          <w:tcPr>
            <w:tcW w:w="8522" w:type="dxa"/>
          </w:tcPr>
          <w:p w:rsidR="00830CB7" w:rsidRPr="00FE6F55" w:rsidRDefault="00830CB7" w:rsidP="00830CB7">
            <w:pPr>
              <w:rPr>
                <w:rFonts w:ascii="Calibri" w:hAnsi="Calibri" w:cs="Arial"/>
                <w:b/>
                <w:sz w:val="22"/>
                <w:szCs w:val="22"/>
              </w:rPr>
            </w:pPr>
            <w:r w:rsidRPr="00FE6F55">
              <w:rPr>
                <w:rFonts w:ascii="Calibri" w:hAnsi="Calibri" w:cs="Arial"/>
                <w:b/>
                <w:sz w:val="22"/>
                <w:szCs w:val="22"/>
              </w:rPr>
              <w:t>Preferred option</w:t>
            </w:r>
          </w:p>
          <w:p w:rsidR="00830CB7" w:rsidRPr="0090531E" w:rsidRDefault="00830CB7" w:rsidP="00830CB7">
            <w:pPr>
              <w:spacing w:after="240"/>
              <w:rPr>
                <w:rFonts w:ascii="Calibri" w:hAnsi="Calibri" w:cs="Arial"/>
                <w:sz w:val="22"/>
                <w:szCs w:val="22"/>
              </w:rPr>
            </w:pPr>
            <w:r w:rsidRPr="00FE6F55">
              <w:rPr>
                <w:rFonts w:ascii="Calibri" w:hAnsi="Calibri" w:cs="Arial"/>
                <w:sz w:val="22"/>
                <w:szCs w:val="22"/>
              </w:rPr>
              <w:t xml:space="preserve">The preferred option of </w:t>
            </w:r>
            <w:r w:rsidR="00674E17">
              <w:rPr>
                <w:rFonts w:ascii="Calibri" w:hAnsi="Calibri" w:cs="Arial"/>
                <w:sz w:val="22"/>
                <w:szCs w:val="22"/>
              </w:rPr>
              <w:t xml:space="preserve">a </w:t>
            </w:r>
            <w:r w:rsidR="00674E17" w:rsidRPr="00A52E48">
              <w:rPr>
                <w:rFonts w:ascii="Calibri" w:hAnsi="Calibri"/>
                <w:b/>
                <w:sz w:val="22"/>
                <w:szCs w:val="22"/>
              </w:rPr>
              <w:t>Physiotherapy Low Back Pain Pathway</w:t>
            </w:r>
            <w:r w:rsidR="00674E17">
              <w:rPr>
                <w:rFonts w:ascii="Calibri" w:hAnsi="Calibri"/>
                <w:sz w:val="22"/>
                <w:szCs w:val="22"/>
              </w:rPr>
              <w:t xml:space="preserve"> </w:t>
            </w:r>
            <w:r w:rsidR="00674E17">
              <w:rPr>
                <w:rFonts w:ascii="Calibri" w:hAnsi="Calibri" w:cs="Arial"/>
                <w:sz w:val="22"/>
                <w:szCs w:val="22"/>
              </w:rPr>
              <w:t xml:space="preserve">offers an evidenced based clinical and cost effective patient centred pathway that directs patients accurately to the </w:t>
            </w:r>
            <w:r w:rsidR="00F908FA">
              <w:rPr>
                <w:rFonts w:ascii="Calibri" w:hAnsi="Calibri" w:cs="Arial"/>
                <w:sz w:val="22"/>
                <w:szCs w:val="22"/>
              </w:rPr>
              <w:t>correct healthcare professional</w:t>
            </w:r>
            <w:r w:rsidR="00674E17">
              <w:rPr>
                <w:rFonts w:ascii="Calibri" w:hAnsi="Calibri" w:cs="Arial"/>
                <w:sz w:val="22"/>
                <w:szCs w:val="22"/>
              </w:rPr>
              <w:t xml:space="preserve">. The </w:t>
            </w:r>
            <w:r w:rsidRPr="00FE6F55">
              <w:rPr>
                <w:rFonts w:ascii="Calibri" w:hAnsi="Calibri" w:cs="Arial"/>
                <w:sz w:val="22"/>
                <w:szCs w:val="22"/>
              </w:rPr>
              <w:t xml:space="preserve">financial and quality benefits to the organisation </w:t>
            </w:r>
            <w:r w:rsidR="00674E17">
              <w:rPr>
                <w:rFonts w:ascii="Calibri" w:hAnsi="Calibri" w:cs="Arial"/>
                <w:sz w:val="22"/>
                <w:szCs w:val="22"/>
              </w:rPr>
              <w:t xml:space="preserve">are that the patient is seen by the right clinician at the right time at a lower cost, with a reduction in duplication, hand-offs and a shorter patient journey. </w:t>
            </w:r>
            <w:r w:rsidR="00AC2CB6">
              <w:rPr>
                <w:rFonts w:ascii="Calibri" w:hAnsi="Calibri" w:cs="Arial"/>
                <w:sz w:val="22"/>
                <w:szCs w:val="22"/>
              </w:rPr>
              <w:t>Overall efficiency savings are guaranteed as this patient group is currently being treated in an inappropriate pathway.</w:t>
            </w:r>
          </w:p>
        </w:tc>
      </w:tr>
    </w:tbl>
    <w:tbl>
      <w:tblPr>
        <w:tblpPr w:leftFromText="180" w:rightFromText="180" w:vertAnchor="text" w:horzAnchor="margin" w:tblpY="52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tblPr>
      <w:tblGrid>
        <w:gridCol w:w="8522"/>
      </w:tblGrid>
      <w:tr w:rsidR="0030224F" w:rsidRPr="00FE6F55">
        <w:tc>
          <w:tcPr>
            <w:tcW w:w="8522" w:type="dxa"/>
            <w:shd w:val="clear" w:color="auto" w:fill="0070C0"/>
          </w:tcPr>
          <w:p w:rsidR="0030224F" w:rsidRPr="00FB5974" w:rsidRDefault="0030224F" w:rsidP="00F908FA">
            <w:pPr>
              <w:rPr>
                <w:rFonts w:ascii="Calibri" w:hAnsi="Calibri" w:cs="Arial"/>
                <w:b/>
                <w:color w:val="FFFFFF"/>
                <w:szCs w:val="22"/>
              </w:rPr>
            </w:pPr>
          </w:p>
          <w:p w:rsidR="0030224F" w:rsidRPr="00FB5974" w:rsidRDefault="0030224F" w:rsidP="00F908FA">
            <w:pPr>
              <w:rPr>
                <w:rFonts w:ascii="Calibri" w:hAnsi="Calibri" w:cs="Arial"/>
                <w:b/>
                <w:color w:val="FFFFFF"/>
                <w:szCs w:val="22"/>
              </w:rPr>
            </w:pPr>
            <w:r w:rsidRPr="00FB5974">
              <w:rPr>
                <w:rFonts w:ascii="Calibri" w:hAnsi="Calibri" w:cs="Arial"/>
                <w:b/>
                <w:color w:val="FFFFFF"/>
                <w:szCs w:val="22"/>
              </w:rPr>
              <w:t>THE TARGETS AND PRIORITIES THAT THE BUSINESS CASE WILL HELP TO ACHIVE</w:t>
            </w:r>
          </w:p>
        </w:tc>
      </w:tr>
      <w:tr w:rsidR="0030224F" w:rsidRPr="00FE6F55">
        <w:tc>
          <w:tcPr>
            <w:tcW w:w="8522" w:type="dxa"/>
          </w:tcPr>
          <w:p w:rsidR="0030224F" w:rsidRPr="00FE6F55" w:rsidRDefault="0030224F" w:rsidP="00F908FA">
            <w:pPr>
              <w:rPr>
                <w:rFonts w:ascii="Calibri" w:hAnsi="Calibri"/>
                <w:sz w:val="22"/>
                <w:szCs w:val="22"/>
              </w:rPr>
            </w:pPr>
          </w:p>
          <w:p w:rsidR="0030224F" w:rsidRPr="00FE6F55" w:rsidRDefault="0030224F" w:rsidP="00055B75">
            <w:pPr>
              <w:spacing w:after="240"/>
              <w:rPr>
                <w:rFonts w:ascii="Calibri" w:hAnsi="Calibri"/>
                <w:sz w:val="22"/>
                <w:szCs w:val="22"/>
              </w:rPr>
            </w:pPr>
            <w:r w:rsidRPr="00FE6F55">
              <w:rPr>
                <w:rFonts w:ascii="Calibri" w:hAnsi="Calibri"/>
                <w:sz w:val="22"/>
                <w:szCs w:val="22"/>
              </w:rPr>
              <w:t xml:space="preserve">This initiative is in line with the new </w:t>
            </w:r>
            <w:r w:rsidR="00055B75">
              <w:rPr>
                <w:rFonts w:ascii="Calibri" w:hAnsi="Calibri"/>
                <w:sz w:val="22"/>
                <w:szCs w:val="22"/>
              </w:rPr>
              <w:t xml:space="preserve">coalition </w:t>
            </w:r>
            <w:r w:rsidRPr="00FE6F55">
              <w:rPr>
                <w:rFonts w:ascii="Calibri" w:hAnsi="Calibri"/>
                <w:sz w:val="22"/>
                <w:szCs w:val="22"/>
              </w:rPr>
              <w:t>government’s White Paper vision of new business models of service delivery which improve quality and productivity whilst at the same time engage, inspire and empower staff.</w:t>
            </w:r>
            <w:r w:rsidR="00055B75">
              <w:rPr>
                <w:rFonts w:ascii="Calibri" w:hAnsi="Calibri"/>
                <w:sz w:val="22"/>
                <w:szCs w:val="22"/>
              </w:rPr>
              <w:t xml:space="preserve"> </w:t>
            </w:r>
            <w:r>
              <w:rPr>
                <w:rFonts w:ascii="Calibri" w:hAnsi="Calibri"/>
                <w:sz w:val="22"/>
                <w:szCs w:val="22"/>
              </w:rPr>
              <w:t>It also specifically targets 18 week RTT</w:t>
            </w:r>
            <w:r w:rsidR="00055B75">
              <w:rPr>
                <w:rFonts w:ascii="Calibri" w:hAnsi="Calibri"/>
                <w:sz w:val="22"/>
                <w:szCs w:val="22"/>
              </w:rPr>
              <w:t>.</w:t>
            </w:r>
          </w:p>
        </w:tc>
      </w:tr>
    </w:tbl>
    <w:p w:rsidR="00830CB7" w:rsidRDefault="00830CB7" w:rsidP="00830CB7"/>
    <w:p w:rsidR="00AC2CB6" w:rsidRDefault="00AC2CB6" w:rsidP="00830CB7"/>
    <w:tbl>
      <w:tblPr>
        <w:tblpPr w:leftFromText="180" w:rightFromText="180" w:vertAnchor="text" w:horzAnchor="margin" w:tblpY="166"/>
        <w:tblW w:w="0" w:type="auto"/>
        <w:tblBorders>
          <w:top w:val="single" w:sz="4" w:space="0" w:color="0070C0"/>
          <w:left w:val="single" w:sz="4" w:space="0" w:color="0070C0"/>
          <w:bottom w:val="single" w:sz="4" w:space="0" w:color="0070C0"/>
          <w:right w:val="single" w:sz="4" w:space="0" w:color="0070C0"/>
        </w:tblBorders>
        <w:tblLook w:val="04A0"/>
      </w:tblPr>
      <w:tblGrid>
        <w:gridCol w:w="6771"/>
        <w:gridCol w:w="1751"/>
      </w:tblGrid>
      <w:tr w:rsidR="007414EE" w:rsidRPr="00FE6F55">
        <w:tc>
          <w:tcPr>
            <w:tcW w:w="8522" w:type="dxa"/>
            <w:gridSpan w:val="2"/>
            <w:shd w:val="clear" w:color="auto" w:fill="0070C0"/>
          </w:tcPr>
          <w:p w:rsidR="007414EE" w:rsidRPr="00FB5974" w:rsidRDefault="007414EE" w:rsidP="007414EE">
            <w:pPr>
              <w:rPr>
                <w:rFonts w:ascii="Calibri" w:hAnsi="Calibri"/>
                <w:b/>
                <w:color w:val="FFFFFF"/>
                <w:szCs w:val="22"/>
              </w:rPr>
            </w:pPr>
            <w:r w:rsidRPr="00FB5974">
              <w:rPr>
                <w:rFonts w:ascii="Calibri" w:hAnsi="Calibri"/>
                <w:b/>
                <w:color w:val="FFFFFF"/>
                <w:szCs w:val="22"/>
              </w:rPr>
              <w:t>COST IMPLICATIONS</w:t>
            </w:r>
          </w:p>
        </w:tc>
      </w:tr>
      <w:tr w:rsidR="007414EE" w:rsidRPr="00FE6F55">
        <w:tc>
          <w:tcPr>
            <w:tcW w:w="8522" w:type="dxa"/>
            <w:gridSpan w:val="2"/>
          </w:tcPr>
          <w:p w:rsidR="007414EE" w:rsidRPr="00FE6F55" w:rsidRDefault="007414EE" w:rsidP="007414EE">
            <w:pPr>
              <w:rPr>
                <w:rFonts w:ascii="Calibri" w:hAnsi="Calibri"/>
                <w:sz w:val="22"/>
                <w:szCs w:val="22"/>
              </w:rPr>
            </w:pPr>
          </w:p>
          <w:p w:rsidR="007414EE" w:rsidRDefault="007414EE" w:rsidP="007414EE">
            <w:pPr>
              <w:rPr>
                <w:rFonts w:ascii="Calibri" w:hAnsi="Calibri"/>
                <w:sz w:val="22"/>
                <w:szCs w:val="22"/>
              </w:rPr>
            </w:pPr>
            <w:r w:rsidRPr="00FE6F55">
              <w:rPr>
                <w:rFonts w:ascii="Calibri" w:hAnsi="Calibri" w:cs="Arial"/>
                <w:sz w:val="22"/>
                <w:szCs w:val="22"/>
              </w:rPr>
              <w:t xml:space="preserve">The recurring increase in expenditure on the proposed </w:t>
            </w:r>
            <w:r w:rsidRPr="00A52E48">
              <w:rPr>
                <w:rFonts w:ascii="Calibri" w:hAnsi="Calibri"/>
                <w:b/>
                <w:sz w:val="22"/>
                <w:szCs w:val="22"/>
              </w:rPr>
              <w:t>Physiotherapy Low Back Pain Pathway</w:t>
            </w:r>
            <w:r>
              <w:rPr>
                <w:rFonts w:ascii="Calibri" w:hAnsi="Calibri"/>
                <w:b/>
                <w:sz w:val="22"/>
                <w:szCs w:val="22"/>
              </w:rPr>
              <w:t xml:space="preserve"> </w:t>
            </w:r>
            <w:r>
              <w:rPr>
                <w:rFonts w:ascii="Calibri" w:hAnsi="Calibri"/>
                <w:sz w:val="22"/>
                <w:szCs w:val="22"/>
              </w:rPr>
              <w:t xml:space="preserve">will be met by savings in orthopaedic services through reduction in need for orthopaedic consultancy clinics and </w:t>
            </w:r>
            <w:r w:rsidR="00055B75">
              <w:rPr>
                <w:rFonts w:ascii="Calibri" w:hAnsi="Calibri"/>
                <w:sz w:val="22"/>
                <w:szCs w:val="22"/>
              </w:rPr>
              <w:t xml:space="preserve">through </w:t>
            </w:r>
            <w:r>
              <w:rPr>
                <w:rFonts w:ascii="Calibri" w:hAnsi="Calibri"/>
                <w:sz w:val="22"/>
                <w:szCs w:val="22"/>
              </w:rPr>
              <w:t>waiting list initiatives.</w:t>
            </w:r>
          </w:p>
          <w:p w:rsidR="007414EE" w:rsidRDefault="007414EE" w:rsidP="007414EE">
            <w:pPr>
              <w:rPr>
                <w:rFonts w:ascii="Calibri" w:hAnsi="Calibri"/>
                <w:sz w:val="22"/>
                <w:szCs w:val="22"/>
              </w:rPr>
            </w:pPr>
          </w:p>
          <w:p w:rsidR="007414EE" w:rsidRPr="00616B5E" w:rsidRDefault="007414EE" w:rsidP="007414EE">
            <w:pPr>
              <w:rPr>
                <w:rFonts w:ascii="Calibri" w:hAnsi="Calibri" w:cs="Arial"/>
                <w:sz w:val="22"/>
                <w:szCs w:val="22"/>
              </w:rPr>
            </w:pPr>
            <w:r>
              <w:rPr>
                <w:rFonts w:ascii="Calibri" w:hAnsi="Calibri"/>
                <w:sz w:val="22"/>
                <w:szCs w:val="22"/>
              </w:rPr>
              <w:t>Saving impact will be dependent o</w:t>
            </w:r>
            <w:r w:rsidR="00991024">
              <w:rPr>
                <w:rFonts w:ascii="Calibri" w:hAnsi="Calibri"/>
                <w:sz w:val="22"/>
                <w:szCs w:val="22"/>
              </w:rPr>
              <w:t xml:space="preserve">n acute </w:t>
            </w:r>
            <w:r w:rsidR="00055B75">
              <w:rPr>
                <w:rFonts w:ascii="Calibri" w:hAnsi="Calibri"/>
                <w:sz w:val="22"/>
                <w:szCs w:val="22"/>
              </w:rPr>
              <w:t>orthopaedic ability</w:t>
            </w:r>
            <w:r w:rsidR="00991024">
              <w:rPr>
                <w:rFonts w:ascii="Calibri" w:hAnsi="Calibri"/>
                <w:sz w:val="22"/>
                <w:szCs w:val="22"/>
              </w:rPr>
              <w:t xml:space="preserve"> to transfer resource </w:t>
            </w:r>
            <w:r w:rsidR="00F908FA">
              <w:rPr>
                <w:rFonts w:ascii="Calibri" w:hAnsi="Calibri"/>
                <w:sz w:val="22"/>
                <w:szCs w:val="22"/>
              </w:rPr>
              <w:t>to support required number of physiotherapists.</w:t>
            </w:r>
          </w:p>
        </w:tc>
      </w:tr>
      <w:tr w:rsidR="007414EE" w:rsidRPr="00FE6F55">
        <w:tc>
          <w:tcPr>
            <w:tcW w:w="6771" w:type="dxa"/>
          </w:tcPr>
          <w:p w:rsidR="007414EE" w:rsidRPr="00FE6F55" w:rsidRDefault="007414EE" w:rsidP="007414EE">
            <w:pPr>
              <w:rPr>
                <w:rFonts w:ascii="Calibri" w:hAnsi="Calibri"/>
                <w:sz w:val="22"/>
                <w:szCs w:val="22"/>
              </w:rPr>
            </w:pPr>
          </w:p>
        </w:tc>
        <w:tc>
          <w:tcPr>
            <w:tcW w:w="1751" w:type="dxa"/>
          </w:tcPr>
          <w:p w:rsidR="007414EE" w:rsidRPr="00FE6F55" w:rsidRDefault="007414EE" w:rsidP="007414EE">
            <w:pPr>
              <w:jc w:val="center"/>
              <w:rPr>
                <w:rFonts w:ascii="Calibri" w:hAnsi="Calibri"/>
                <w:sz w:val="22"/>
                <w:szCs w:val="22"/>
              </w:rPr>
            </w:pPr>
            <w:r w:rsidRPr="00FE6F55">
              <w:rPr>
                <w:rFonts w:ascii="Calibri" w:hAnsi="Calibri"/>
                <w:sz w:val="22"/>
                <w:szCs w:val="22"/>
              </w:rPr>
              <w:t>£000s</w:t>
            </w:r>
          </w:p>
        </w:tc>
      </w:tr>
      <w:tr w:rsidR="007414EE" w:rsidRPr="00FE6F55">
        <w:tc>
          <w:tcPr>
            <w:tcW w:w="6771" w:type="dxa"/>
          </w:tcPr>
          <w:p w:rsidR="007414EE" w:rsidRPr="00FE6F55" w:rsidRDefault="007414EE" w:rsidP="007414EE">
            <w:pPr>
              <w:rPr>
                <w:rFonts w:ascii="Calibri" w:hAnsi="Calibri"/>
                <w:b/>
                <w:sz w:val="22"/>
                <w:szCs w:val="22"/>
              </w:rPr>
            </w:pPr>
            <w:r w:rsidRPr="00FE6F55">
              <w:rPr>
                <w:rFonts w:ascii="Calibri" w:hAnsi="Calibri"/>
                <w:b/>
                <w:sz w:val="22"/>
                <w:szCs w:val="22"/>
              </w:rPr>
              <w:t>Investment total (X)</w:t>
            </w:r>
          </w:p>
        </w:tc>
        <w:tc>
          <w:tcPr>
            <w:tcW w:w="1751" w:type="dxa"/>
          </w:tcPr>
          <w:p w:rsidR="007414EE" w:rsidRPr="00FE6F55" w:rsidRDefault="007414EE" w:rsidP="007414EE">
            <w:pPr>
              <w:rPr>
                <w:rFonts w:ascii="Calibri" w:hAnsi="Calibri"/>
                <w:sz w:val="22"/>
                <w:szCs w:val="22"/>
              </w:rPr>
            </w:pPr>
          </w:p>
        </w:tc>
      </w:tr>
      <w:tr w:rsidR="007414EE" w:rsidRPr="00FE6F55">
        <w:tc>
          <w:tcPr>
            <w:tcW w:w="6771" w:type="dxa"/>
          </w:tcPr>
          <w:p w:rsidR="007414EE" w:rsidRPr="00FE6F55" w:rsidRDefault="007414EE" w:rsidP="007414EE">
            <w:pPr>
              <w:rPr>
                <w:rFonts w:ascii="Calibri" w:hAnsi="Calibri"/>
                <w:b/>
                <w:sz w:val="22"/>
                <w:szCs w:val="22"/>
              </w:rPr>
            </w:pPr>
            <w:r w:rsidRPr="00FE6F55">
              <w:rPr>
                <w:rFonts w:ascii="Calibri" w:hAnsi="Calibri"/>
                <w:b/>
                <w:sz w:val="22"/>
                <w:szCs w:val="22"/>
              </w:rPr>
              <w:t>Additional annual recurring income (Y)</w:t>
            </w:r>
          </w:p>
        </w:tc>
        <w:tc>
          <w:tcPr>
            <w:tcW w:w="1751" w:type="dxa"/>
          </w:tcPr>
          <w:p w:rsidR="007414EE" w:rsidRPr="00FE6F55" w:rsidRDefault="007414EE" w:rsidP="007414EE">
            <w:pPr>
              <w:rPr>
                <w:rFonts w:ascii="Calibri" w:hAnsi="Calibri"/>
                <w:sz w:val="22"/>
                <w:szCs w:val="22"/>
              </w:rPr>
            </w:pPr>
          </w:p>
        </w:tc>
      </w:tr>
      <w:tr w:rsidR="007414EE" w:rsidRPr="00FE6F55">
        <w:tc>
          <w:tcPr>
            <w:tcW w:w="6771" w:type="dxa"/>
          </w:tcPr>
          <w:p w:rsidR="007414EE" w:rsidRPr="00FE6F55" w:rsidRDefault="007414EE" w:rsidP="007414EE">
            <w:pPr>
              <w:rPr>
                <w:rFonts w:ascii="Calibri" w:hAnsi="Calibri"/>
                <w:b/>
                <w:sz w:val="22"/>
                <w:szCs w:val="22"/>
              </w:rPr>
            </w:pPr>
            <w:r w:rsidRPr="00FE6F55">
              <w:rPr>
                <w:rFonts w:ascii="Calibri" w:hAnsi="Calibri"/>
                <w:b/>
                <w:sz w:val="22"/>
                <w:szCs w:val="22"/>
              </w:rPr>
              <w:t>Additional annual recurring running costs (Z)</w:t>
            </w:r>
          </w:p>
        </w:tc>
        <w:tc>
          <w:tcPr>
            <w:tcW w:w="1751" w:type="dxa"/>
          </w:tcPr>
          <w:p w:rsidR="007414EE" w:rsidRPr="00FE6F55" w:rsidRDefault="007414EE" w:rsidP="007414EE">
            <w:pPr>
              <w:rPr>
                <w:rFonts w:ascii="Calibri" w:hAnsi="Calibri"/>
                <w:sz w:val="22"/>
                <w:szCs w:val="22"/>
              </w:rPr>
            </w:pPr>
          </w:p>
        </w:tc>
      </w:tr>
      <w:tr w:rsidR="007414EE" w:rsidRPr="00FE6F55">
        <w:tc>
          <w:tcPr>
            <w:tcW w:w="6771" w:type="dxa"/>
          </w:tcPr>
          <w:p w:rsidR="007414EE" w:rsidRPr="00FE6F55" w:rsidRDefault="007414EE" w:rsidP="007414EE">
            <w:pPr>
              <w:rPr>
                <w:rFonts w:ascii="Calibri" w:hAnsi="Calibri"/>
                <w:b/>
                <w:sz w:val="22"/>
                <w:szCs w:val="22"/>
              </w:rPr>
            </w:pPr>
            <w:r w:rsidRPr="00FE6F55">
              <w:rPr>
                <w:rFonts w:ascii="Calibri" w:hAnsi="Calibri"/>
                <w:b/>
                <w:sz w:val="22"/>
                <w:szCs w:val="22"/>
              </w:rPr>
              <w:t>Net recurring surplus (Y-Z)</w:t>
            </w:r>
          </w:p>
        </w:tc>
        <w:tc>
          <w:tcPr>
            <w:tcW w:w="1751" w:type="dxa"/>
          </w:tcPr>
          <w:p w:rsidR="007414EE" w:rsidRPr="00FE6F55" w:rsidRDefault="007414EE" w:rsidP="007414EE">
            <w:pPr>
              <w:rPr>
                <w:rFonts w:ascii="Calibri" w:hAnsi="Calibri"/>
                <w:sz w:val="22"/>
                <w:szCs w:val="22"/>
              </w:rPr>
            </w:pPr>
          </w:p>
        </w:tc>
      </w:tr>
      <w:tr w:rsidR="007414EE" w:rsidRPr="00FE6F55">
        <w:tc>
          <w:tcPr>
            <w:tcW w:w="6771" w:type="dxa"/>
          </w:tcPr>
          <w:p w:rsidR="007414EE" w:rsidRPr="00FE6F55" w:rsidRDefault="007414EE" w:rsidP="007414EE">
            <w:pPr>
              <w:rPr>
                <w:rFonts w:ascii="Calibri" w:hAnsi="Calibri"/>
                <w:b/>
                <w:sz w:val="22"/>
                <w:szCs w:val="22"/>
              </w:rPr>
            </w:pPr>
            <w:r w:rsidRPr="00FE6F55">
              <w:rPr>
                <w:rFonts w:ascii="Calibri" w:hAnsi="Calibri"/>
                <w:b/>
                <w:sz w:val="22"/>
                <w:szCs w:val="22"/>
              </w:rPr>
              <w:t xml:space="preserve">Number of years before cumulative savings exceed investment </w:t>
            </w:r>
          </w:p>
          <w:p w:rsidR="007414EE" w:rsidRPr="00FE6F55" w:rsidRDefault="007414EE" w:rsidP="007414EE">
            <w:pPr>
              <w:rPr>
                <w:rFonts w:ascii="Calibri" w:hAnsi="Calibri"/>
                <w:b/>
                <w:sz w:val="22"/>
                <w:szCs w:val="22"/>
              </w:rPr>
            </w:pPr>
            <w:r w:rsidRPr="00FE6F55">
              <w:rPr>
                <w:rFonts w:ascii="Calibri" w:hAnsi="Calibri"/>
                <w:b/>
                <w:sz w:val="22"/>
                <w:szCs w:val="22"/>
              </w:rPr>
              <w:t>(Investment total (X) divided by net recurring surplus (Y-Z)</w:t>
            </w:r>
          </w:p>
        </w:tc>
        <w:tc>
          <w:tcPr>
            <w:tcW w:w="1751" w:type="dxa"/>
          </w:tcPr>
          <w:p w:rsidR="007414EE" w:rsidRPr="00FE6F55" w:rsidRDefault="007414EE" w:rsidP="007414EE">
            <w:pPr>
              <w:rPr>
                <w:rFonts w:ascii="Calibri" w:hAnsi="Calibri"/>
                <w:sz w:val="22"/>
                <w:szCs w:val="22"/>
              </w:rPr>
            </w:pPr>
          </w:p>
        </w:tc>
      </w:tr>
    </w:tbl>
    <w:p w:rsidR="00674E17" w:rsidRDefault="00674E17" w:rsidP="00830CB7"/>
    <w:p w:rsidR="00830CB7" w:rsidRDefault="00830CB7" w:rsidP="00830CB7"/>
    <w:tbl>
      <w:tblPr>
        <w:tblW w:w="0" w:type="auto"/>
        <w:tblBorders>
          <w:top w:val="single" w:sz="4" w:space="0" w:color="0070C0"/>
          <w:left w:val="single" w:sz="4" w:space="0" w:color="0070C0"/>
          <w:bottom w:val="single" w:sz="4" w:space="0" w:color="0070C0"/>
          <w:right w:val="single" w:sz="4" w:space="0" w:color="0070C0"/>
        </w:tblBorders>
        <w:tblLook w:val="04A0"/>
      </w:tblPr>
      <w:tblGrid>
        <w:gridCol w:w="8522"/>
      </w:tblGrid>
      <w:tr w:rsidR="00830CB7" w:rsidRPr="00FE6F55">
        <w:tc>
          <w:tcPr>
            <w:tcW w:w="8522" w:type="dxa"/>
            <w:shd w:val="clear" w:color="auto" w:fill="0070C0"/>
          </w:tcPr>
          <w:p w:rsidR="00830CB7" w:rsidRPr="00FB5974" w:rsidRDefault="00830CB7" w:rsidP="00830CB7">
            <w:pPr>
              <w:rPr>
                <w:rFonts w:ascii="Calibri" w:hAnsi="Calibri"/>
                <w:b/>
                <w:color w:val="FFFFFF"/>
                <w:szCs w:val="22"/>
              </w:rPr>
            </w:pPr>
            <w:r w:rsidRPr="00FB5974">
              <w:rPr>
                <w:rFonts w:ascii="Calibri" w:hAnsi="Calibri"/>
                <w:b/>
                <w:color w:val="FFFFFF"/>
                <w:szCs w:val="22"/>
              </w:rPr>
              <w:t>PROGRAMME BUDGET CATEGORY</w:t>
            </w:r>
          </w:p>
        </w:tc>
      </w:tr>
      <w:tr w:rsidR="00830CB7" w:rsidRPr="00FE6F55">
        <w:tc>
          <w:tcPr>
            <w:tcW w:w="8522" w:type="dxa"/>
          </w:tcPr>
          <w:p w:rsidR="00CC0F17" w:rsidRDefault="00616B5E" w:rsidP="00830CB7">
            <w:pPr>
              <w:rPr>
                <w:rFonts w:ascii="Calibri" w:hAnsi="Calibri"/>
                <w:sz w:val="22"/>
                <w:szCs w:val="22"/>
              </w:rPr>
            </w:pPr>
            <w:r w:rsidRPr="00A52E48">
              <w:rPr>
                <w:rFonts w:ascii="Calibri" w:hAnsi="Calibri"/>
                <w:b/>
                <w:sz w:val="22"/>
                <w:szCs w:val="22"/>
              </w:rPr>
              <w:t>Physiotherapy Low Back Pain Pathway</w:t>
            </w:r>
            <w:r>
              <w:rPr>
                <w:rFonts w:ascii="Calibri" w:hAnsi="Calibri"/>
                <w:sz w:val="22"/>
                <w:szCs w:val="22"/>
              </w:rPr>
              <w:t xml:space="preserve"> </w:t>
            </w:r>
            <w:r w:rsidR="00830CB7" w:rsidRPr="00FE6F55">
              <w:rPr>
                <w:rFonts w:ascii="Calibri" w:hAnsi="Calibri"/>
                <w:sz w:val="22"/>
                <w:szCs w:val="22"/>
              </w:rPr>
              <w:t>- New NHS Outcomes Framework (4 of the 5 domains</w:t>
            </w:r>
            <w:r w:rsidR="00CC0F17">
              <w:rPr>
                <w:rFonts w:ascii="Calibri" w:hAnsi="Calibri"/>
                <w:sz w:val="22"/>
                <w:szCs w:val="22"/>
              </w:rPr>
              <w:t>):</w:t>
            </w:r>
          </w:p>
          <w:p w:rsidR="00830CB7" w:rsidRPr="00FE6F55" w:rsidRDefault="00830CB7" w:rsidP="00830CB7">
            <w:pPr>
              <w:rPr>
                <w:rFonts w:ascii="Calibri" w:hAnsi="Calibri"/>
                <w:sz w:val="22"/>
                <w:szCs w:val="22"/>
              </w:rPr>
            </w:pPr>
            <w:r w:rsidRPr="00FE6F55">
              <w:rPr>
                <w:rFonts w:ascii="Calibri" w:hAnsi="Calibri"/>
                <w:sz w:val="22"/>
                <w:szCs w:val="22"/>
              </w:rPr>
              <w:t xml:space="preserve"> </w:t>
            </w:r>
            <w:r w:rsidR="00F908FA">
              <w:rPr>
                <w:rFonts w:ascii="Calibri" w:hAnsi="Calibri"/>
                <w:sz w:val="22"/>
                <w:szCs w:val="22"/>
              </w:rPr>
              <w:t>(</w:t>
            </w:r>
            <w:r w:rsidRPr="00FE6F55">
              <w:rPr>
                <w:rFonts w:ascii="Calibri" w:hAnsi="Calibri"/>
                <w:sz w:val="22"/>
                <w:szCs w:val="22"/>
              </w:rPr>
              <w:t>1</w:t>
            </w:r>
            <w:r w:rsidR="00F908FA">
              <w:rPr>
                <w:rFonts w:ascii="Calibri" w:hAnsi="Calibri"/>
                <w:sz w:val="22"/>
                <w:szCs w:val="22"/>
              </w:rPr>
              <w:t>)</w:t>
            </w:r>
            <w:r w:rsidRPr="00FE6F55">
              <w:rPr>
                <w:rFonts w:ascii="Calibri" w:hAnsi="Calibri"/>
                <w:sz w:val="22"/>
                <w:szCs w:val="22"/>
              </w:rPr>
              <w:t xml:space="preserve"> enhance the quality of life of staff living with low back pain; </w:t>
            </w:r>
            <w:r w:rsidR="00F908FA">
              <w:rPr>
                <w:rFonts w:ascii="Calibri" w:hAnsi="Calibri"/>
                <w:sz w:val="22"/>
                <w:szCs w:val="22"/>
              </w:rPr>
              <w:t>(</w:t>
            </w:r>
            <w:r w:rsidRPr="00FE6F55">
              <w:rPr>
                <w:rFonts w:ascii="Calibri" w:hAnsi="Calibri"/>
                <w:sz w:val="22"/>
                <w:szCs w:val="22"/>
              </w:rPr>
              <w:t>2</w:t>
            </w:r>
            <w:r w:rsidR="00F908FA">
              <w:rPr>
                <w:rFonts w:ascii="Calibri" w:hAnsi="Calibri"/>
                <w:sz w:val="22"/>
                <w:szCs w:val="22"/>
              </w:rPr>
              <w:t>)</w:t>
            </w:r>
            <w:r w:rsidRPr="00FE6F55">
              <w:rPr>
                <w:rFonts w:ascii="Calibri" w:hAnsi="Calibri"/>
                <w:sz w:val="22"/>
                <w:szCs w:val="22"/>
              </w:rPr>
              <w:t xml:space="preserve"> help </w:t>
            </w:r>
            <w:r w:rsidR="00616B5E">
              <w:rPr>
                <w:rFonts w:ascii="Calibri" w:hAnsi="Calibri"/>
                <w:sz w:val="22"/>
                <w:szCs w:val="22"/>
              </w:rPr>
              <w:t xml:space="preserve">patients </w:t>
            </w:r>
            <w:r w:rsidRPr="00FE6F55">
              <w:rPr>
                <w:rFonts w:ascii="Calibri" w:hAnsi="Calibri"/>
                <w:sz w:val="22"/>
                <w:szCs w:val="22"/>
              </w:rPr>
              <w:t xml:space="preserve">recover from the episode of ill health or following injury; </w:t>
            </w:r>
            <w:r w:rsidR="00F908FA">
              <w:rPr>
                <w:rFonts w:ascii="Calibri" w:hAnsi="Calibri"/>
                <w:sz w:val="22"/>
                <w:szCs w:val="22"/>
              </w:rPr>
              <w:t>(</w:t>
            </w:r>
            <w:r w:rsidRPr="00FE6F55">
              <w:rPr>
                <w:rFonts w:ascii="Calibri" w:hAnsi="Calibri"/>
                <w:sz w:val="22"/>
                <w:szCs w:val="22"/>
              </w:rPr>
              <w:t>3</w:t>
            </w:r>
            <w:r w:rsidR="00F908FA">
              <w:rPr>
                <w:rFonts w:ascii="Calibri" w:hAnsi="Calibri"/>
                <w:sz w:val="22"/>
                <w:szCs w:val="22"/>
              </w:rPr>
              <w:t>)</w:t>
            </w:r>
            <w:r w:rsidRPr="00FE6F55">
              <w:rPr>
                <w:rFonts w:ascii="Calibri" w:hAnsi="Calibri"/>
                <w:sz w:val="22"/>
                <w:szCs w:val="22"/>
              </w:rPr>
              <w:t xml:space="preserve"> ensure that </w:t>
            </w:r>
            <w:r w:rsidR="00616B5E">
              <w:rPr>
                <w:rFonts w:ascii="Calibri" w:hAnsi="Calibri"/>
                <w:sz w:val="22"/>
                <w:szCs w:val="22"/>
              </w:rPr>
              <w:t>patients with low back pain</w:t>
            </w:r>
            <w:r w:rsidRPr="00FE6F55">
              <w:rPr>
                <w:rFonts w:ascii="Calibri" w:hAnsi="Calibri"/>
                <w:sz w:val="22"/>
                <w:szCs w:val="22"/>
              </w:rPr>
              <w:t xml:space="preserve"> have a positive experience of care; and </w:t>
            </w:r>
            <w:r w:rsidR="00F908FA">
              <w:rPr>
                <w:rFonts w:ascii="Calibri" w:hAnsi="Calibri"/>
                <w:sz w:val="22"/>
                <w:szCs w:val="22"/>
              </w:rPr>
              <w:t>(</w:t>
            </w:r>
            <w:r w:rsidRPr="00FE6F55">
              <w:rPr>
                <w:rFonts w:ascii="Calibri" w:hAnsi="Calibri"/>
                <w:sz w:val="22"/>
                <w:szCs w:val="22"/>
              </w:rPr>
              <w:t>4</w:t>
            </w:r>
            <w:r w:rsidR="00F908FA">
              <w:rPr>
                <w:rFonts w:ascii="Calibri" w:hAnsi="Calibri"/>
                <w:sz w:val="22"/>
                <w:szCs w:val="22"/>
              </w:rPr>
              <w:t>)</w:t>
            </w:r>
            <w:r w:rsidRPr="00FE6F55">
              <w:rPr>
                <w:rFonts w:ascii="Calibri" w:hAnsi="Calibri"/>
                <w:sz w:val="22"/>
                <w:szCs w:val="22"/>
              </w:rPr>
              <w:t xml:space="preserve"> </w:t>
            </w:r>
            <w:r w:rsidR="00991024">
              <w:rPr>
                <w:rFonts w:ascii="Calibri" w:hAnsi="Calibri"/>
                <w:sz w:val="22"/>
                <w:szCs w:val="22"/>
              </w:rPr>
              <w:t>treating people</w:t>
            </w:r>
            <w:r w:rsidRPr="00FE6F55">
              <w:rPr>
                <w:rFonts w:ascii="Calibri" w:hAnsi="Calibri"/>
                <w:sz w:val="22"/>
                <w:szCs w:val="22"/>
              </w:rPr>
              <w:t xml:space="preserve"> in a safe environment and protect</w:t>
            </w:r>
            <w:r w:rsidR="00991024">
              <w:rPr>
                <w:rFonts w:ascii="Calibri" w:hAnsi="Calibri"/>
                <w:sz w:val="22"/>
                <w:szCs w:val="22"/>
              </w:rPr>
              <w:t>ing</w:t>
            </w:r>
            <w:r w:rsidRPr="00FE6F55">
              <w:rPr>
                <w:rFonts w:ascii="Calibri" w:hAnsi="Calibri"/>
                <w:sz w:val="22"/>
                <w:szCs w:val="22"/>
              </w:rPr>
              <w:t xml:space="preserve"> </w:t>
            </w:r>
            <w:r w:rsidR="00F908FA">
              <w:rPr>
                <w:rFonts w:ascii="Calibri" w:hAnsi="Calibri"/>
                <w:sz w:val="22"/>
                <w:szCs w:val="22"/>
              </w:rPr>
              <w:t>them from avoidable harm</w:t>
            </w:r>
            <w:r w:rsidRPr="00FE6F55">
              <w:rPr>
                <w:rFonts w:ascii="Calibri" w:hAnsi="Calibri"/>
                <w:sz w:val="22"/>
                <w:szCs w:val="22"/>
              </w:rPr>
              <w:t>.</w:t>
            </w:r>
          </w:p>
          <w:p w:rsidR="00830CB7" w:rsidRPr="00FE6F55" w:rsidRDefault="00830CB7" w:rsidP="00830CB7">
            <w:pPr>
              <w:rPr>
                <w:rFonts w:ascii="Calibri" w:hAnsi="Calibri"/>
                <w:sz w:val="22"/>
                <w:szCs w:val="22"/>
              </w:rPr>
            </w:pPr>
          </w:p>
        </w:tc>
      </w:tr>
    </w:tbl>
    <w:p w:rsidR="00830CB7" w:rsidRDefault="00830CB7" w:rsidP="00830CB7"/>
    <w:p w:rsidR="00830CB7" w:rsidRDefault="00055B75" w:rsidP="00830CB7">
      <w:r>
        <w:br w:type="page"/>
      </w:r>
    </w:p>
    <w:tbl>
      <w:tblPr>
        <w:tblW w:w="0" w:type="auto"/>
        <w:tblBorders>
          <w:top w:val="single" w:sz="4" w:space="0" w:color="0070C0"/>
          <w:left w:val="single" w:sz="4" w:space="0" w:color="0070C0"/>
          <w:bottom w:val="single" w:sz="4" w:space="0" w:color="0070C0"/>
          <w:right w:val="single" w:sz="4" w:space="0" w:color="0070C0"/>
        </w:tblBorders>
        <w:tblLook w:val="04A0"/>
      </w:tblPr>
      <w:tblGrid>
        <w:gridCol w:w="8522"/>
      </w:tblGrid>
      <w:tr w:rsidR="00830CB7" w:rsidRPr="00FE6F55">
        <w:tc>
          <w:tcPr>
            <w:tcW w:w="8522" w:type="dxa"/>
            <w:shd w:val="clear" w:color="auto" w:fill="0070C0"/>
          </w:tcPr>
          <w:p w:rsidR="00830CB7" w:rsidRPr="0090531E" w:rsidRDefault="00830CB7" w:rsidP="00830CB7">
            <w:pPr>
              <w:rPr>
                <w:rFonts w:ascii="Calibri" w:hAnsi="Calibri"/>
                <w:b/>
                <w:color w:val="FFFFFF"/>
                <w:szCs w:val="22"/>
              </w:rPr>
            </w:pPr>
            <w:r w:rsidRPr="0090531E">
              <w:rPr>
                <w:rFonts w:ascii="Calibri" w:hAnsi="Calibri"/>
                <w:b/>
                <w:color w:val="FFFFFF"/>
                <w:szCs w:val="22"/>
              </w:rPr>
              <w:t>SUMMARY OF HEALTH OUTCOMES</w:t>
            </w:r>
          </w:p>
        </w:tc>
      </w:tr>
      <w:tr w:rsidR="00830CB7" w:rsidRPr="00FE6F55">
        <w:tc>
          <w:tcPr>
            <w:tcW w:w="8522" w:type="dxa"/>
          </w:tcPr>
          <w:p w:rsidR="00AD0C7E" w:rsidRDefault="00830CB7" w:rsidP="00055B75">
            <w:pPr>
              <w:spacing w:after="240"/>
              <w:rPr>
                <w:rFonts w:ascii="Calibri" w:hAnsi="Calibri"/>
                <w:sz w:val="22"/>
                <w:szCs w:val="22"/>
              </w:rPr>
            </w:pPr>
            <w:r w:rsidRPr="00FE6F55">
              <w:rPr>
                <w:rFonts w:ascii="Calibri" w:hAnsi="Calibri"/>
                <w:sz w:val="22"/>
                <w:szCs w:val="22"/>
              </w:rPr>
              <w:t>The principal health outcome is improved</w:t>
            </w:r>
            <w:r w:rsidR="00991024">
              <w:rPr>
                <w:rFonts w:ascii="Calibri" w:hAnsi="Calibri"/>
                <w:sz w:val="22"/>
                <w:szCs w:val="22"/>
              </w:rPr>
              <w:t xml:space="preserve"> clinical outcomes and</w:t>
            </w:r>
            <w:r w:rsidRPr="00FE6F55">
              <w:rPr>
                <w:rFonts w:ascii="Calibri" w:hAnsi="Calibri"/>
                <w:sz w:val="22"/>
                <w:szCs w:val="22"/>
              </w:rPr>
              <w:t xml:space="preserve"> prognosis for</w:t>
            </w:r>
            <w:r w:rsidR="00991024">
              <w:rPr>
                <w:rFonts w:ascii="Calibri" w:hAnsi="Calibri"/>
                <w:sz w:val="22"/>
                <w:szCs w:val="22"/>
              </w:rPr>
              <w:t xml:space="preserve"> patients with low back pain through the provision of a clear</w:t>
            </w:r>
            <w:r w:rsidR="00F908FA">
              <w:rPr>
                <w:rFonts w:ascii="Calibri" w:hAnsi="Calibri"/>
                <w:sz w:val="22"/>
                <w:szCs w:val="22"/>
              </w:rPr>
              <w:t>,</w:t>
            </w:r>
            <w:r w:rsidR="00991024">
              <w:rPr>
                <w:rFonts w:ascii="Calibri" w:hAnsi="Calibri"/>
                <w:sz w:val="22"/>
                <w:szCs w:val="22"/>
              </w:rPr>
              <w:t xml:space="preserve"> consistent and shorter patient pathway.</w:t>
            </w:r>
            <w:r w:rsidRPr="00FE6F55">
              <w:rPr>
                <w:rFonts w:ascii="Calibri" w:hAnsi="Calibri"/>
                <w:sz w:val="22"/>
                <w:szCs w:val="22"/>
              </w:rPr>
              <w:t xml:space="preserve"> </w:t>
            </w:r>
          </w:p>
          <w:p w:rsidR="00AD0C7E" w:rsidRDefault="00AD0C7E" w:rsidP="00AD0C7E">
            <w:pPr>
              <w:rPr>
                <w:rFonts w:ascii="Calibri" w:hAnsi="Calibri"/>
                <w:sz w:val="22"/>
                <w:szCs w:val="22"/>
              </w:rPr>
            </w:pPr>
            <w:r>
              <w:rPr>
                <w:rFonts w:ascii="Calibri" w:hAnsi="Calibri"/>
                <w:sz w:val="22"/>
                <w:szCs w:val="22"/>
              </w:rPr>
              <w:t>By providing additional physiotherapy resource to existing MSK physiotherapy services and through introduction of a spinal pathway within these services the following key metrics will be achieved:</w:t>
            </w:r>
          </w:p>
          <w:p w:rsidR="00AD0C7E" w:rsidRDefault="00AD0C7E" w:rsidP="00AD0C7E">
            <w:pPr>
              <w:numPr>
                <w:ilvl w:val="0"/>
                <w:numId w:val="9"/>
              </w:numPr>
              <w:rPr>
                <w:rFonts w:ascii="Calibri" w:hAnsi="Calibri"/>
                <w:sz w:val="22"/>
                <w:szCs w:val="22"/>
              </w:rPr>
            </w:pPr>
            <w:r>
              <w:rPr>
                <w:rFonts w:ascii="Calibri" w:hAnsi="Calibri"/>
                <w:sz w:val="22"/>
                <w:szCs w:val="22"/>
              </w:rPr>
              <w:t>80% reduction in referral for low back pain to orthopaedic or spinal consultancy</w:t>
            </w:r>
            <w:r w:rsidR="00055B75">
              <w:rPr>
                <w:rFonts w:ascii="Calibri" w:hAnsi="Calibri"/>
                <w:sz w:val="22"/>
                <w:szCs w:val="22"/>
              </w:rPr>
              <w:t>;</w:t>
            </w:r>
          </w:p>
          <w:p w:rsidR="00AD0C7E" w:rsidRDefault="00055B75" w:rsidP="00AD0C7E">
            <w:pPr>
              <w:numPr>
                <w:ilvl w:val="0"/>
                <w:numId w:val="9"/>
              </w:numPr>
              <w:rPr>
                <w:rFonts w:ascii="Calibri" w:hAnsi="Calibri"/>
                <w:sz w:val="22"/>
                <w:szCs w:val="22"/>
              </w:rPr>
            </w:pPr>
            <w:r>
              <w:rPr>
                <w:rFonts w:ascii="Calibri" w:hAnsi="Calibri"/>
                <w:sz w:val="22"/>
                <w:szCs w:val="22"/>
              </w:rPr>
              <w:t>P</w:t>
            </w:r>
            <w:r w:rsidR="00AD0C7E">
              <w:rPr>
                <w:rFonts w:ascii="Calibri" w:hAnsi="Calibri"/>
                <w:sz w:val="22"/>
                <w:szCs w:val="22"/>
              </w:rPr>
              <w:t>atients seen in community settings by specialist physiotherapists with access to diagnostics if required</w:t>
            </w:r>
            <w:r>
              <w:rPr>
                <w:rFonts w:ascii="Calibri" w:hAnsi="Calibri"/>
                <w:sz w:val="22"/>
                <w:szCs w:val="22"/>
              </w:rPr>
              <w:t>;</w:t>
            </w:r>
          </w:p>
          <w:p w:rsidR="00AD0C7E" w:rsidRDefault="00AD0C7E" w:rsidP="00AD0C7E">
            <w:pPr>
              <w:numPr>
                <w:ilvl w:val="0"/>
                <w:numId w:val="9"/>
              </w:numPr>
              <w:rPr>
                <w:rFonts w:ascii="Calibri" w:hAnsi="Calibri"/>
                <w:sz w:val="22"/>
                <w:szCs w:val="22"/>
              </w:rPr>
            </w:pPr>
            <w:r>
              <w:rPr>
                <w:rFonts w:ascii="Calibri" w:hAnsi="Calibri"/>
                <w:sz w:val="22"/>
                <w:szCs w:val="22"/>
              </w:rPr>
              <w:t>Reduced variance in practice for assessment, diagnosis and low back pain treatment</w:t>
            </w:r>
            <w:r w:rsidR="00055B75">
              <w:rPr>
                <w:rFonts w:ascii="Calibri" w:hAnsi="Calibri"/>
                <w:sz w:val="22"/>
                <w:szCs w:val="22"/>
              </w:rPr>
              <w:t>;</w:t>
            </w:r>
          </w:p>
          <w:p w:rsidR="00AD0C7E" w:rsidRDefault="00AD0C7E" w:rsidP="00AD0C7E">
            <w:pPr>
              <w:numPr>
                <w:ilvl w:val="0"/>
                <w:numId w:val="9"/>
              </w:numPr>
              <w:rPr>
                <w:rFonts w:ascii="Calibri" w:hAnsi="Calibri"/>
                <w:sz w:val="22"/>
                <w:szCs w:val="22"/>
              </w:rPr>
            </w:pPr>
            <w:r>
              <w:rPr>
                <w:rFonts w:ascii="Calibri" w:hAnsi="Calibri"/>
                <w:sz w:val="22"/>
                <w:szCs w:val="22"/>
              </w:rPr>
              <w:t>Cost effectiveness-improved value for money</w:t>
            </w:r>
            <w:r w:rsidR="00055B75">
              <w:rPr>
                <w:rFonts w:ascii="Calibri" w:hAnsi="Calibri"/>
                <w:sz w:val="22"/>
                <w:szCs w:val="22"/>
              </w:rPr>
              <w:t>;</w:t>
            </w:r>
          </w:p>
          <w:p w:rsidR="00AD0C7E" w:rsidRPr="00FE6F55" w:rsidRDefault="00AD0C7E" w:rsidP="00AD0C7E">
            <w:pPr>
              <w:numPr>
                <w:ilvl w:val="0"/>
                <w:numId w:val="9"/>
              </w:numPr>
              <w:rPr>
                <w:rFonts w:ascii="Calibri" w:hAnsi="Calibri"/>
                <w:sz w:val="22"/>
                <w:szCs w:val="22"/>
              </w:rPr>
            </w:pPr>
            <w:r>
              <w:rPr>
                <w:rFonts w:ascii="Calibri" w:hAnsi="Calibri"/>
                <w:sz w:val="22"/>
                <w:szCs w:val="22"/>
              </w:rPr>
              <w:t>Improved patient</w:t>
            </w:r>
            <w:r w:rsidR="00CC0F17">
              <w:rPr>
                <w:rFonts w:ascii="Calibri" w:hAnsi="Calibri"/>
                <w:sz w:val="22"/>
                <w:szCs w:val="22"/>
              </w:rPr>
              <w:t xml:space="preserve"> care experience</w:t>
            </w:r>
            <w:r w:rsidR="00055B75">
              <w:rPr>
                <w:rFonts w:ascii="Calibri" w:hAnsi="Calibri"/>
                <w:sz w:val="22"/>
                <w:szCs w:val="22"/>
              </w:rPr>
              <w:t>.</w:t>
            </w:r>
          </w:p>
          <w:p w:rsidR="00830CB7" w:rsidRPr="00FE6F55" w:rsidRDefault="00830CB7" w:rsidP="00830CB7">
            <w:pPr>
              <w:rPr>
                <w:rFonts w:ascii="Calibri" w:hAnsi="Calibri"/>
                <w:sz w:val="22"/>
                <w:szCs w:val="22"/>
              </w:rPr>
            </w:pPr>
          </w:p>
        </w:tc>
      </w:tr>
    </w:tbl>
    <w:p w:rsidR="00830CB7" w:rsidRDefault="00830CB7" w:rsidP="00830CB7"/>
    <w:p w:rsidR="00830CB7" w:rsidRDefault="00830CB7" w:rsidP="00830CB7"/>
    <w:tbl>
      <w:tblPr>
        <w:tblW w:w="0" w:type="auto"/>
        <w:tblBorders>
          <w:top w:val="single" w:sz="4" w:space="0" w:color="0070C0"/>
          <w:left w:val="single" w:sz="4" w:space="0" w:color="0070C0"/>
          <w:bottom w:val="single" w:sz="4" w:space="0" w:color="0070C0"/>
          <w:right w:val="single" w:sz="4" w:space="0" w:color="0070C0"/>
        </w:tblBorders>
        <w:tblLook w:val="04A0"/>
      </w:tblPr>
      <w:tblGrid>
        <w:gridCol w:w="2130"/>
        <w:gridCol w:w="2798"/>
        <w:gridCol w:w="1843"/>
        <w:gridCol w:w="1751"/>
      </w:tblGrid>
      <w:tr w:rsidR="00830CB7" w:rsidRPr="00FE6F55">
        <w:tc>
          <w:tcPr>
            <w:tcW w:w="8522" w:type="dxa"/>
            <w:gridSpan w:val="4"/>
            <w:shd w:val="clear" w:color="auto" w:fill="0070C0"/>
          </w:tcPr>
          <w:p w:rsidR="00830CB7" w:rsidRPr="00FB5974" w:rsidRDefault="00830CB7" w:rsidP="00830CB7">
            <w:pPr>
              <w:rPr>
                <w:rFonts w:ascii="Calibri" w:hAnsi="Calibri"/>
                <w:b/>
                <w:color w:val="FFFFFF"/>
                <w:szCs w:val="22"/>
              </w:rPr>
            </w:pPr>
            <w:r w:rsidRPr="00FB5974">
              <w:rPr>
                <w:rFonts w:ascii="Calibri" w:hAnsi="Calibri"/>
                <w:b/>
                <w:color w:val="FFFFFF"/>
                <w:szCs w:val="22"/>
              </w:rPr>
              <w:t>ESTIMATED EXPENDITURE AND ACTIVITY</w:t>
            </w:r>
          </w:p>
        </w:tc>
      </w:tr>
      <w:tr w:rsidR="00830CB7" w:rsidRPr="00FE6F55">
        <w:tc>
          <w:tcPr>
            <w:tcW w:w="2130" w:type="dxa"/>
          </w:tcPr>
          <w:p w:rsidR="00830CB7" w:rsidRPr="00FE6F55" w:rsidRDefault="00830CB7" w:rsidP="00830CB7">
            <w:pPr>
              <w:jc w:val="center"/>
              <w:rPr>
                <w:rFonts w:ascii="Calibri" w:hAnsi="Calibri"/>
                <w:sz w:val="22"/>
                <w:szCs w:val="22"/>
              </w:rPr>
            </w:pPr>
          </w:p>
        </w:tc>
        <w:tc>
          <w:tcPr>
            <w:tcW w:w="2798" w:type="dxa"/>
          </w:tcPr>
          <w:p w:rsidR="00830CB7" w:rsidRPr="00FE6F55" w:rsidRDefault="00830CB7" w:rsidP="00830CB7">
            <w:pPr>
              <w:jc w:val="center"/>
              <w:rPr>
                <w:rFonts w:ascii="Calibri" w:hAnsi="Calibri"/>
                <w:b/>
                <w:sz w:val="22"/>
                <w:szCs w:val="22"/>
              </w:rPr>
            </w:pPr>
            <w:r w:rsidRPr="00FE6F55">
              <w:rPr>
                <w:rFonts w:ascii="Calibri" w:hAnsi="Calibri"/>
                <w:b/>
                <w:sz w:val="22"/>
                <w:szCs w:val="22"/>
              </w:rPr>
              <w:t>Activity/capacity change</w:t>
            </w:r>
          </w:p>
        </w:tc>
        <w:tc>
          <w:tcPr>
            <w:tcW w:w="1843" w:type="dxa"/>
          </w:tcPr>
          <w:p w:rsidR="00830CB7" w:rsidRPr="00FE6F55" w:rsidRDefault="00830CB7" w:rsidP="00830CB7">
            <w:pPr>
              <w:jc w:val="center"/>
              <w:rPr>
                <w:rFonts w:ascii="Calibri" w:hAnsi="Calibri"/>
                <w:b/>
                <w:sz w:val="22"/>
                <w:szCs w:val="22"/>
              </w:rPr>
            </w:pPr>
            <w:r w:rsidRPr="00FE6F55">
              <w:rPr>
                <w:rFonts w:ascii="Calibri" w:hAnsi="Calibri"/>
                <w:b/>
                <w:sz w:val="22"/>
                <w:szCs w:val="22"/>
              </w:rPr>
              <w:t>Recurring</w:t>
            </w:r>
          </w:p>
          <w:p w:rsidR="00830CB7" w:rsidRPr="00FE6F55" w:rsidRDefault="00830CB7" w:rsidP="00830CB7">
            <w:pPr>
              <w:jc w:val="center"/>
              <w:rPr>
                <w:rFonts w:ascii="Calibri" w:hAnsi="Calibri"/>
                <w:b/>
                <w:sz w:val="22"/>
                <w:szCs w:val="22"/>
              </w:rPr>
            </w:pPr>
            <w:r w:rsidRPr="00FE6F55">
              <w:rPr>
                <w:rFonts w:ascii="Calibri" w:hAnsi="Calibri"/>
                <w:b/>
                <w:sz w:val="22"/>
                <w:szCs w:val="22"/>
              </w:rPr>
              <w:t>£000s</w:t>
            </w:r>
          </w:p>
        </w:tc>
        <w:tc>
          <w:tcPr>
            <w:tcW w:w="1751" w:type="dxa"/>
          </w:tcPr>
          <w:p w:rsidR="00830CB7" w:rsidRPr="00FE6F55" w:rsidRDefault="00830CB7" w:rsidP="00830CB7">
            <w:pPr>
              <w:jc w:val="center"/>
              <w:rPr>
                <w:rFonts w:ascii="Calibri" w:hAnsi="Calibri"/>
                <w:b/>
                <w:sz w:val="22"/>
                <w:szCs w:val="22"/>
              </w:rPr>
            </w:pPr>
            <w:r w:rsidRPr="00FE6F55">
              <w:rPr>
                <w:rFonts w:ascii="Calibri" w:hAnsi="Calibri"/>
                <w:b/>
                <w:sz w:val="22"/>
                <w:szCs w:val="22"/>
              </w:rPr>
              <w:t>Non-recurring £000s</w:t>
            </w:r>
          </w:p>
        </w:tc>
      </w:tr>
      <w:tr w:rsidR="00830CB7" w:rsidRPr="00FE6F55">
        <w:tc>
          <w:tcPr>
            <w:tcW w:w="2130" w:type="dxa"/>
          </w:tcPr>
          <w:p w:rsidR="00830CB7" w:rsidRPr="00FE6F55" w:rsidRDefault="00830CB7" w:rsidP="00830CB7">
            <w:pPr>
              <w:rPr>
                <w:rFonts w:ascii="Calibri" w:hAnsi="Calibri"/>
                <w:b/>
                <w:sz w:val="22"/>
                <w:szCs w:val="22"/>
              </w:rPr>
            </w:pPr>
            <w:r w:rsidRPr="00FE6F55">
              <w:rPr>
                <w:rFonts w:ascii="Calibri" w:hAnsi="Calibri"/>
                <w:b/>
                <w:sz w:val="22"/>
                <w:szCs w:val="22"/>
              </w:rPr>
              <w:t>1</w:t>
            </w:r>
            <w:r w:rsidRPr="00FE6F55">
              <w:rPr>
                <w:rFonts w:ascii="Calibri" w:hAnsi="Calibri"/>
                <w:b/>
                <w:sz w:val="22"/>
                <w:szCs w:val="22"/>
                <w:vertAlign w:val="superscript"/>
              </w:rPr>
              <w:t>st</w:t>
            </w:r>
            <w:r w:rsidRPr="00FE6F55">
              <w:rPr>
                <w:rFonts w:ascii="Calibri" w:hAnsi="Calibri"/>
                <w:b/>
                <w:sz w:val="22"/>
                <w:szCs w:val="22"/>
              </w:rPr>
              <w:t xml:space="preserve"> Year</w:t>
            </w:r>
          </w:p>
        </w:tc>
        <w:tc>
          <w:tcPr>
            <w:tcW w:w="2798" w:type="dxa"/>
          </w:tcPr>
          <w:p w:rsidR="00830CB7" w:rsidRPr="00FE6F55" w:rsidRDefault="00830CB7" w:rsidP="00830CB7">
            <w:pPr>
              <w:rPr>
                <w:rFonts w:ascii="Calibri" w:hAnsi="Calibri"/>
                <w:sz w:val="22"/>
                <w:szCs w:val="22"/>
              </w:rPr>
            </w:pPr>
          </w:p>
        </w:tc>
        <w:tc>
          <w:tcPr>
            <w:tcW w:w="1843" w:type="dxa"/>
          </w:tcPr>
          <w:p w:rsidR="00830CB7" w:rsidRPr="00FE6F55" w:rsidRDefault="00830CB7" w:rsidP="00830CB7">
            <w:pPr>
              <w:jc w:val="center"/>
              <w:rPr>
                <w:rFonts w:ascii="Calibri" w:hAnsi="Calibri"/>
                <w:sz w:val="22"/>
                <w:szCs w:val="22"/>
              </w:rPr>
            </w:pPr>
            <w:r w:rsidRPr="00FE6F55">
              <w:rPr>
                <w:rFonts w:ascii="Calibri" w:hAnsi="Calibri"/>
                <w:sz w:val="22"/>
                <w:szCs w:val="22"/>
              </w:rPr>
              <w:t>XX</w:t>
            </w:r>
          </w:p>
        </w:tc>
        <w:tc>
          <w:tcPr>
            <w:tcW w:w="1751" w:type="dxa"/>
          </w:tcPr>
          <w:p w:rsidR="00830CB7" w:rsidRPr="00FE6F55" w:rsidRDefault="00830CB7" w:rsidP="00830CB7">
            <w:pPr>
              <w:jc w:val="center"/>
              <w:rPr>
                <w:rFonts w:ascii="Calibri" w:hAnsi="Calibri"/>
                <w:sz w:val="22"/>
                <w:szCs w:val="22"/>
              </w:rPr>
            </w:pPr>
            <w:r w:rsidRPr="00FE6F55">
              <w:rPr>
                <w:rFonts w:ascii="Calibri" w:hAnsi="Calibri"/>
                <w:sz w:val="22"/>
                <w:szCs w:val="22"/>
              </w:rPr>
              <w:t>___</w:t>
            </w:r>
          </w:p>
        </w:tc>
      </w:tr>
      <w:tr w:rsidR="00830CB7" w:rsidRPr="00FE6F55">
        <w:tc>
          <w:tcPr>
            <w:tcW w:w="2130" w:type="dxa"/>
          </w:tcPr>
          <w:p w:rsidR="00830CB7" w:rsidRPr="00FE6F55" w:rsidRDefault="00830CB7" w:rsidP="00830CB7">
            <w:pPr>
              <w:rPr>
                <w:rFonts w:ascii="Calibri" w:hAnsi="Calibri"/>
                <w:b/>
                <w:sz w:val="22"/>
                <w:szCs w:val="22"/>
              </w:rPr>
            </w:pPr>
            <w:r w:rsidRPr="00FE6F55">
              <w:rPr>
                <w:rFonts w:ascii="Calibri" w:hAnsi="Calibri"/>
                <w:b/>
                <w:sz w:val="22"/>
                <w:szCs w:val="22"/>
              </w:rPr>
              <w:t>2</w:t>
            </w:r>
            <w:r w:rsidRPr="00FE6F55">
              <w:rPr>
                <w:rFonts w:ascii="Calibri" w:hAnsi="Calibri"/>
                <w:b/>
                <w:sz w:val="22"/>
                <w:szCs w:val="22"/>
                <w:vertAlign w:val="superscript"/>
              </w:rPr>
              <w:t>nd</w:t>
            </w:r>
            <w:r w:rsidRPr="00FE6F55">
              <w:rPr>
                <w:rFonts w:ascii="Calibri" w:hAnsi="Calibri"/>
                <w:b/>
                <w:sz w:val="22"/>
                <w:szCs w:val="22"/>
              </w:rPr>
              <w:t xml:space="preserve"> year</w:t>
            </w:r>
          </w:p>
        </w:tc>
        <w:tc>
          <w:tcPr>
            <w:tcW w:w="2798" w:type="dxa"/>
          </w:tcPr>
          <w:p w:rsidR="00830CB7" w:rsidRPr="00FE6F55" w:rsidRDefault="00830CB7" w:rsidP="00830CB7">
            <w:pPr>
              <w:jc w:val="center"/>
              <w:rPr>
                <w:rFonts w:ascii="Calibri" w:hAnsi="Calibri"/>
                <w:sz w:val="22"/>
                <w:szCs w:val="22"/>
              </w:rPr>
            </w:pPr>
          </w:p>
        </w:tc>
        <w:tc>
          <w:tcPr>
            <w:tcW w:w="1843" w:type="dxa"/>
          </w:tcPr>
          <w:p w:rsidR="00830CB7" w:rsidRPr="00FE6F55" w:rsidRDefault="00830CB7" w:rsidP="00830CB7">
            <w:pPr>
              <w:jc w:val="center"/>
              <w:rPr>
                <w:rFonts w:ascii="Calibri" w:hAnsi="Calibri"/>
                <w:sz w:val="22"/>
                <w:szCs w:val="22"/>
              </w:rPr>
            </w:pPr>
            <w:r w:rsidRPr="00FE6F55">
              <w:rPr>
                <w:rFonts w:ascii="Calibri" w:hAnsi="Calibri"/>
                <w:sz w:val="22"/>
                <w:szCs w:val="22"/>
              </w:rPr>
              <w:t>XX</w:t>
            </w:r>
          </w:p>
        </w:tc>
        <w:tc>
          <w:tcPr>
            <w:tcW w:w="1751" w:type="dxa"/>
          </w:tcPr>
          <w:p w:rsidR="00830CB7" w:rsidRPr="00FE6F55" w:rsidRDefault="00830CB7" w:rsidP="00830CB7">
            <w:pPr>
              <w:jc w:val="center"/>
              <w:rPr>
                <w:rFonts w:ascii="Calibri" w:hAnsi="Calibri"/>
                <w:sz w:val="22"/>
                <w:szCs w:val="22"/>
              </w:rPr>
            </w:pPr>
            <w:r w:rsidRPr="00FE6F55">
              <w:rPr>
                <w:rFonts w:ascii="Calibri" w:hAnsi="Calibri"/>
                <w:sz w:val="22"/>
                <w:szCs w:val="22"/>
              </w:rPr>
              <w:t>___</w:t>
            </w:r>
          </w:p>
        </w:tc>
      </w:tr>
      <w:tr w:rsidR="00830CB7" w:rsidRPr="00FE6F55">
        <w:tc>
          <w:tcPr>
            <w:tcW w:w="2130" w:type="dxa"/>
          </w:tcPr>
          <w:p w:rsidR="00830CB7" w:rsidRPr="00FE6F55" w:rsidRDefault="00830CB7" w:rsidP="00830CB7">
            <w:pPr>
              <w:rPr>
                <w:rFonts w:ascii="Calibri" w:hAnsi="Calibri"/>
                <w:b/>
                <w:sz w:val="22"/>
                <w:szCs w:val="22"/>
              </w:rPr>
            </w:pPr>
            <w:r w:rsidRPr="00FE6F55">
              <w:rPr>
                <w:rFonts w:ascii="Calibri" w:hAnsi="Calibri"/>
                <w:b/>
                <w:sz w:val="22"/>
                <w:szCs w:val="22"/>
              </w:rPr>
              <w:t>3</w:t>
            </w:r>
            <w:r w:rsidRPr="00FE6F55">
              <w:rPr>
                <w:rFonts w:ascii="Calibri" w:hAnsi="Calibri"/>
                <w:b/>
                <w:sz w:val="22"/>
                <w:szCs w:val="22"/>
                <w:vertAlign w:val="superscript"/>
              </w:rPr>
              <w:t>rd</w:t>
            </w:r>
            <w:r w:rsidRPr="00FE6F55">
              <w:rPr>
                <w:rFonts w:ascii="Calibri" w:hAnsi="Calibri"/>
                <w:b/>
                <w:sz w:val="22"/>
                <w:szCs w:val="22"/>
              </w:rPr>
              <w:t xml:space="preserve"> year</w:t>
            </w:r>
          </w:p>
        </w:tc>
        <w:tc>
          <w:tcPr>
            <w:tcW w:w="2798" w:type="dxa"/>
          </w:tcPr>
          <w:p w:rsidR="00830CB7" w:rsidRPr="00FE6F55" w:rsidRDefault="00830CB7" w:rsidP="00830CB7">
            <w:pPr>
              <w:rPr>
                <w:rFonts w:ascii="Calibri" w:hAnsi="Calibri"/>
                <w:sz w:val="22"/>
                <w:szCs w:val="22"/>
              </w:rPr>
            </w:pPr>
          </w:p>
        </w:tc>
        <w:tc>
          <w:tcPr>
            <w:tcW w:w="1843" w:type="dxa"/>
          </w:tcPr>
          <w:p w:rsidR="00830CB7" w:rsidRPr="00FE6F55" w:rsidRDefault="00830CB7" w:rsidP="00830CB7">
            <w:pPr>
              <w:rPr>
                <w:rFonts w:ascii="Calibri" w:hAnsi="Calibri"/>
                <w:sz w:val="22"/>
                <w:szCs w:val="22"/>
              </w:rPr>
            </w:pPr>
          </w:p>
        </w:tc>
        <w:tc>
          <w:tcPr>
            <w:tcW w:w="1751" w:type="dxa"/>
          </w:tcPr>
          <w:p w:rsidR="00830CB7" w:rsidRPr="00FE6F55" w:rsidRDefault="00830CB7" w:rsidP="00830CB7">
            <w:pPr>
              <w:rPr>
                <w:rFonts w:ascii="Calibri" w:hAnsi="Calibri"/>
                <w:sz w:val="22"/>
                <w:szCs w:val="22"/>
              </w:rPr>
            </w:pPr>
          </w:p>
        </w:tc>
      </w:tr>
      <w:tr w:rsidR="00830CB7" w:rsidRPr="00FE6F55">
        <w:tc>
          <w:tcPr>
            <w:tcW w:w="2130" w:type="dxa"/>
          </w:tcPr>
          <w:p w:rsidR="00830CB7" w:rsidRPr="00FE6F55" w:rsidRDefault="00830CB7" w:rsidP="00830CB7">
            <w:pPr>
              <w:rPr>
                <w:rFonts w:ascii="Calibri" w:hAnsi="Calibri"/>
                <w:b/>
                <w:sz w:val="22"/>
                <w:szCs w:val="22"/>
              </w:rPr>
            </w:pPr>
            <w:r w:rsidRPr="00FE6F55">
              <w:rPr>
                <w:rFonts w:ascii="Calibri" w:hAnsi="Calibri"/>
                <w:b/>
                <w:sz w:val="22"/>
                <w:szCs w:val="22"/>
              </w:rPr>
              <w:t>Investment</w:t>
            </w:r>
          </w:p>
        </w:tc>
        <w:tc>
          <w:tcPr>
            <w:tcW w:w="6392" w:type="dxa"/>
            <w:gridSpan w:val="3"/>
          </w:tcPr>
          <w:p w:rsidR="00830CB7" w:rsidRPr="00FE6F55" w:rsidRDefault="00830CB7" w:rsidP="00830CB7">
            <w:pPr>
              <w:rPr>
                <w:rFonts w:ascii="Calibri" w:hAnsi="Calibri"/>
                <w:sz w:val="22"/>
                <w:szCs w:val="22"/>
              </w:rPr>
            </w:pPr>
            <w:r w:rsidRPr="00FE6F55">
              <w:rPr>
                <w:rFonts w:ascii="Calibri" w:hAnsi="Calibri"/>
                <w:sz w:val="22"/>
                <w:szCs w:val="22"/>
              </w:rPr>
              <w:t xml:space="preserve">Additional physiotherapist staff salaries and pay on-costs: </w:t>
            </w:r>
          </w:p>
          <w:p w:rsidR="00830CB7" w:rsidRPr="00FE6F55" w:rsidRDefault="00830CB7" w:rsidP="00830CB7">
            <w:pPr>
              <w:rPr>
                <w:rFonts w:ascii="Calibri" w:hAnsi="Calibri"/>
                <w:sz w:val="22"/>
                <w:szCs w:val="22"/>
              </w:rPr>
            </w:pPr>
            <w:r w:rsidRPr="00FE6F55">
              <w:rPr>
                <w:rFonts w:ascii="Calibri" w:hAnsi="Calibri"/>
                <w:sz w:val="22"/>
                <w:szCs w:val="22"/>
              </w:rPr>
              <w:t>£XX recurring</w:t>
            </w:r>
          </w:p>
        </w:tc>
      </w:tr>
    </w:tbl>
    <w:p w:rsidR="000D29D3" w:rsidRDefault="000D29D3" w:rsidP="00830CB7"/>
    <w:p w:rsidR="000D29D3" w:rsidRDefault="000D29D3" w:rsidP="00830CB7"/>
    <w:tbl>
      <w:tblPr>
        <w:tblW w:w="0" w:type="auto"/>
        <w:tblBorders>
          <w:top w:val="single" w:sz="4" w:space="0" w:color="0070C0"/>
          <w:left w:val="single" w:sz="4" w:space="0" w:color="0070C0"/>
          <w:bottom w:val="single" w:sz="4" w:space="0" w:color="0070C0"/>
          <w:right w:val="single" w:sz="4" w:space="0" w:color="0070C0"/>
        </w:tblBorders>
        <w:tblLook w:val="04A0"/>
      </w:tblPr>
      <w:tblGrid>
        <w:gridCol w:w="2376"/>
        <w:gridCol w:w="3119"/>
        <w:gridCol w:w="3027"/>
      </w:tblGrid>
      <w:tr w:rsidR="00830CB7" w:rsidRPr="00FE6F55">
        <w:tc>
          <w:tcPr>
            <w:tcW w:w="8522" w:type="dxa"/>
            <w:gridSpan w:val="3"/>
            <w:shd w:val="clear" w:color="auto" w:fill="0070C0"/>
          </w:tcPr>
          <w:p w:rsidR="00830CB7" w:rsidRPr="00FB5974" w:rsidRDefault="00830CB7" w:rsidP="00830CB7">
            <w:pPr>
              <w:rPr>
                <w:rFonts w:ascii="Calibri" w:hAnsi="Calibri"/>
                <w:b/>
                <w:color w:val="FFFFFF"/>
                <w:sz w:val="22"/>
                <w:szCs w:val="22"/>
              </w:rPr>
            </w:pPr>
            <w:r w:rsidRPr="00FB5974">
              <w:rPr>
                <w:rFonts w:ascii="Calibri" w:hAnsi="Calibri"/>
                <w:b/>
                <w:color w:val="FFFFFF"/>
                <w:sz w:val="22"/>
                <w:szCs w:val="22"/>
              </w:rPr>
              <w:t>Analysis of additional expenditure</w:t>
            </w:r>
          </w:p>
        </w:tc>
      </w:tr>
      <w:tr w:rsidR="00830CB7" w:rsidRPr="00FE6F55">
        <w:tc>
          <w:tcPr>
            <w:tcW w:w="2376" w:type="dxa"/>
          </w:tcPr>
          <w:p w:rsidR="00830CB7" w:rsidRPr="00FE6F55" w:rsidRDefault="00830CB7" w:rsidP="00830CB7">
            <w:pPr>
              <w:rPr>
                <w:rFonts w:ascii="Calibri" w:hAnsi="Calibri"/>
                <w:b/>
                <w:sz w:val="22"/>
                <w:szCs w:val="22"/>
              </w:rPr>
            </w:pPr>
          </w:p>
        </w:tc>
        <w:tc>
          <w:tcPr>
            <w:tcW w:w="3119" w:type="dxa"/>
          </w:tcPr>
          <w:p w:rsidR="00830CB7" w:rsidRPr="00FE6F55" w:rsidRDefault="00830CB7" w:rsidP="00830CB7">
            <w:pPr>
              <w:rPr>
                <w:rFonts w:ascii="Calibri" w:hAnsi="Calibri"/>
                <w:b/>
                <w:sz w:val="22"/>
                <w:szCs w:val="22"/>
              </w:rPr>
            </w:pPr>
            <w:r w:rsidRPr="00FE6F55">
              <w:rPr>
                <w:rFonts w:ascii="Calibri" w:hAnsi="Calibri"/>
                <w:b/>
                <w:sz w:val="22"/>
                <w:szCs w:val="22"/>
              </w:rPr>
              <w:t>Variable/semi variable</w:t>
            </w:r>
          </w:p>
        </w:tc>
        <w:tc>
          <w:tcPr>
            <w:tcW w:w="3027" w:type="dxa"/>
          </w:tcPr>
          <w:p w:rsidR="00830CB7" w:rsidRPr="00FE6F55" w:rsidRDefault="00830CB7" w:rsidP="00830CB7">
            <w:pPr>
              <w:rPr>
                <w:rFonts w:ascii="Calibri" w:hAnsi="Calibri"/>
                <w:b/>
                <w:sz w:val="22"/>
                <w:szCs w:val="22"/>
              </w:rPr>
            </w:pPr>
            <w:r w:rsidRPr="00FE6F55">
              <w:rPr>
                <w:rFonts w:ascii="Calibri" w:hAnsi="Calibri"/>
                <w:b/>
                <w:sz w:val="22"/>
                <w:szCs w:val="22"/>
              </w:rPr>
              <w:t>Fixed</w:t>
            </w:r>
          </w:p>
        </w:tc>
      </w:tr>
      <w:tr w:rsidR="00830CB7" w:rsidRPr="00FE6F55">
        <w:tc>
          <w:tcPr>
            <w:tcW w:w="2376" w:type="dxa"/>
          </w:tcPr>
          <w:p w:rsidR="00830CB7" w:rsidRPr="00FE6F55" w:rsidRDefault="00830CB7" w:rsidP="00830CB7">
            <w:pPr>
              <w:rPr>
                <w:rFonts w:ascii="Calibri" w:hAnsi="Calibri"/>
                <w:b/>
                <w:sz w:val="22"/>
                <w:szCs w:val="22"/>
              </w:rPr>
            </w:pPr>
            <w:r w:rsidRPr="00FE6F55">
              <w:rPr>
                <w:rFonts w:ascii="Calibri" w:hAnsi="Calibri"/>
                <w:b/>
                <w:sz w:val="22"/>
                <w:szCs w:val="22"/>
              </w:rPr>
              <w:t>Own department</w:t>
            </w:r>
          </w:p>
        </w:tc>
        <w:tc>
          <w:tcPr>
            <w:tcW w:w="3119" w:type="dxa"/>
          </w:tcPr>
          <w:p w:rsidR="00830CB7" w:rsidRPr="00FE6F55" w:rsidRDefault="00830CB7" w:rsidP="00830CB7">
            <w:pPr>
              <w:rPr>
                <w:rFonts w:ascii="Calibri" w:hAnsi="Calibri"/>
                <w:sz w:val="22"/>
                <w:szCs w:val="22"/>
              </w:rPr>
            </w:pPr>
            <w:r w:rsidRPr="00FE6F55">
              <w:rPr>
                <w:rFonts w:ascii="Calibri" w:hAnsi="Calibri"/>
                <w:sz w:val="22"/>
                <w:szCs w:val="22"/>
              </w:rPr>
              <w:t>Physiotherapist salaries incl. pay on-costs: £XX</w:t>
            </w:r>
          </w:p>
          <w:p w:rsidR="00830CB7" w:rsidRPr="00FE6F55" w:rsidRDefault="00830CB7" w:rsidP="00830CB7">
            <w:pPr>
              <w:rPr>
                <w:rFonts w:ascii="Calibri" w:hAnsi="Calibri"/>
                <w:sz w:val="22"/>
                <w:szCs w:val="22"/>
              </w:rPr>
            </w:pPr>
            <w:r w:rsidRPr="00FE6F55">
              <w:rPr>
                <w:rFonts w:ascii="Calibri" w:hAnsi="Calibri"/>
                <w:sz w:val="22"/>
                <w:szCs w:val="22"/>
              </w:rPr>
              <w:t>Staff uniforms: £XX</w:t>
            </w:r>
          </w:p>
          <w:p w:rsidR="00830CB7" w:rsidRPr="00FE6F55" w:rsidRDefault="00830CB7" w:rsidP="00830CB7">
            <w:pPr>
              <w:rPr>
                <w:rFonts w:ascii="Calibri" w:hAnsi="Calibri"/>
                <w:sz w:val="22"/>
                <w:szCs w:val="22"/>
              </w:rPr>
            </w:pPr>
            <w:r w:rsidRPr="00FE6F55">
              <w:rPr>
                <w:rFonts w:ascii="Calibri" w:hAnsi="Calibri"/>
                <w:sz w:val="22"/>
                <w:szCs w:val="22"/>
              </w:rPr>
              <w:t>Training and Education: £XX</w:t>
            </w:r>
          </w:p>
          <w:p w:rsidR="00830CB7" w:rsidRPr="00FE6F55" w:rsidRDefault="00830CB7" w:rsidP="00830CB7">
            <w:pPr>
              <w:rPr>
                <w:rFonts w:ascii="Calibri" w:hAnsi="Calibri"/>
                <w:sz w:val="22"/>
                <w:szCs w:val="22"/>
              </w:rPr>
            </w:pPr>
            <w:r w:rsidRPr="00FE6F55">
              <w:rPr>
                <w:rFonts w:ascii="Calibri" w:hAnsi="Calibri"/>
                <w:sz w:val="22"/>
                <w:szCs w:val="22"/>
              </w:rPr>
              <w:t>Printing and stationery: £XX</w:t>
            </w:r>
          </w:p>
        </w:tc>
        <w:tc>
          <w:tcPr>
            <w:tcW w:w="3027" w:type="dxa"/>
          </w:tcPr>
          <w:p w:rsidR="00830CB7" w:rsidRPr="00FE6F55" w:rsidRDefault="00830CB7" w:rsidP="00830CB7">
            <w:pPr>
              <w:rPr>
                <w:rFonts w:ascii="Calibri" w:hAnsi="Calibri"/>
                <w:sz w:val="22"/>
                <w:szCs w:val="22"/>
              </w:rPr>
            </w:pPr>
            <w:r w:rsidRPr="00FE6F55">
              <w:rPr>
                <w:rFonts w:ascii="Calibri" w:hAnsi="Calibri"/>
                <w:sz w:val="22"/>
                <w:szCs w:val="22"/>
              </w:rPr>
              <w:t>Nil</w:t>
            </w:r>
          </w:p>
        </w:tc>
      </w:tr>
      <w:tr w:rsidR="00830CB7" w:rsidRPr="00FE6F55">
        <w:tc>
          <w:tcPr>
            <w:tcW w:w="2376" w:type="dxa"/>
          </w:tcPr>
          <w:p w:rsidR="00830CB7" w:rsidRPr="00FE6F55" w:rsidRDefault="00830CB7" w:rsidP="00830CB7">
            <w:pPr>
              <w:rPr>
                <w:rFonts w:ascii="Calibri" w:hAnsi="Calibri"/>
                <w:b/>
                <w:sz w:val="22"/>
                <w:szCs w:val="22"/>
              </w:rPr>
            </w:pPr>
            <w:r w:rsidRPr="00FE6F55">
              <w:rPr>
                <w:rFonts w:ascii="Calibri" w:hAnsi="Calibri"/>
                <w:b/>
                <w:sz w:val="22"/>
                <w:szCs w:val="22"/>
              </w:rPr>
              <w:t>Others</w:t>
            </w:r>
          </w:p>
        </w:tc>
        <w:tc>
          <w:tcPr>
            <w:tcW w:w="3119" w:type="dxa"/>
          </w:tcPr>
          <w:p w:rsidR="00830CB7" w:rsidRPr="00FE6F55" w:rsidRDefault="00830CB7" w:rsidP="00830CB7">
            <w:pPr>
              <w:rPr>
                <w:rFonts w:ascii="Calibri" w:hAnsi="Calibri"/>
                <w:sz w:val="22"/>
                <w:szCs w:val="22"/>
              </w:rPr>
            </w:pPr>
            <w:r w:rsidRPr="00FE6F55">
              <w:rPr>
                <w:rFonts w:ascii="Calibri" w:hAnsi="Calibri"/>
                <w:sz w:val="22"/>
                <w:szCs w:val="22"/>
              </w:rPr>
              <w:t>Nil</w:t>
            </w:r>
          </w:p>
        </w:tc>
        <w:tc>
          <w:tcPr>
            <w:tcW w:w="3027" w:type="dxa"/>
          </w:tcPr>
          <w:p w:rsidR="00830CB7" w:rsidRPr="00FE6F55" w:rsidRDefault="00830CB7" w:rsidP="00830CB7">
            <w:pPr>
              <w:rPr>
                <w:rFonts w:ascii="Calibri" w:hAnsi="Calibri"/>
                <w:sz w:val="22"/>
                <w:szCs w:val="22"/>
              </w:rPr>
            </w:pPr>
            <w:r w:rsidRPr="00FE6F55">
              <w:rPr>
                <w:rFonts w:ascii="Calibri" w:hAnsi="Calibri"/>
                <w:sz w:val="22"/>
                <w:szCs w:val="22"/>
              </w:rPr>
              <w:t>Nil</w:t>
            </w:r>
          </w:p>
        </w:tc>
      </w:tr>
      <w:tr w:rsidR="00830CB7" w:rsidRPr="00FE6F55">
        <w:tc>
          <w:tcPr>
            <w:tcW w:w="2376" w:type="dxa"/>
          </w:tcPr>
          <w:p w:rsidR="00830CB7" w:rsidRPr="00FE6F55" w:rsidRDefault="00830CB7" w:rsidP="00830CB7">
            <w:pPr>
              <w:rPr>
                <w:rFonts w:ascii="Calibri" w:hAnsi="Calibri"/>
                <w:b/>
                <w:sz w:val="22"/>
                <w:szCs w:val="22"/>
              </w:rPr>
            </w:pPr>
            <w:r w:rsidRPr="00FE6F55">
              <w:rPr>
                <w:rFonts w:ascii="Calibri" w:hAnsi="Calibri"/>
                <w:b/>
                <w:sz w:val="22"/>
                <w:szCs w:val="22"/>
              </w:rPr>
              <w:t>TOTAL</w:t>
            </w:r>
          </w:p>
        </w:tc>
        <w:tc>
          <w:tcPr>
            <w:tcW w:w="3119" w:type="dxa"/>
          </w:tcPr>
          <w:p w:rsidR="00830CB7" w:rsidRPr="00FE6F55" w:rsidRDefault="00830CB7" w:rsidP="00830CB7">
            <w:pPr>
              <w:rPr>
                <w:rFonts w:ascii="Calibri" w:hAnsi="Calibri"/>
                <w:sz w:val="22"/>
                <w:szCs w:val="22"/>
              </w:rPr>
            </w:pPr>
            <w:r w:rsidRPr="00FE6F55">
              <w:rPr>
                <w:rFonts w:ascii="Calibri" w:hAnsi="Calibri"/>
                <w:sz w:val="22"/>
                <w:szCs w:val="22"/>
              </w:rPr>
              <w:t>£XX,000</w:t>
            </w:r>
          </w:p>
        </w:tc>
        <w:tc>
          <w:tcPr>
            <w:tcW w:w="3027" w:type="dxa"/>
          </w:tcPr>
          <w:p w:rsidR="00830CB7" w:rsidRPr="00FE6F55" w:rsidRDefault="00830CB7" w:rsidP="00830CB7">
            <w:pPr>
              <w:rPr>
                <w:rFonts w:ascii="Calibri" w:hAnsi="Calibri"/>
                <w:sz w:val="22"/>
                <w:szCs w:val="22"/>
              </w:rPr>
            </w:pPr>
            <w:r w:rsidRPr="00FE6F55">
              <w:rPr>
                <w:rFonts w:ascii="Calibri" w:hAnsi="Calibri"/>
                <w:sz w:val="22"/>
                <w:szCs w:val="22"/>
              </w:rPr>
              <w:t>£0</w:t>
            </w:r>
          </w:p>
        </w:tc>
      </w:tr>
    </w:tbl>
    <w:p w:rsidR="00830CB7" w:rsidRDefault="00830CB7" w:rsidP="00830CB7">
      <w:pPr>
        <w:sectPr w:rsidR="00830CB7" w:rsidSect="00B72F94">
          <w:headerReference w:type="default" r:id="rId12"/>
          <w:footerReference w:type="even" r:id="rId13"/>
          <w:footerReference w:type="default" r:id="rId14"/>
          <w:pgSz w:w="11906" w:h="16838"/>
          <w:pgMar w:top="1440" w:right="1797" w:bottom="1440" w:left="1797" w:header="708" w:footer="708" w:gutter="0"/>
          <w:cols w:space="708"/>
          <w:docGrid w:linePitch="360"/>
        </w:sectPr>
      </w:pPr>
    </w:p>
    <w:tbl>
      <w:tblPr>
        <w:tblpPr w:leftFromText="180" w:rightFromText="180" w:vertAnchor="text" w:horzAnchor="margin" w:tblpY="-163"/>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tblPr>
      <w:tblGrid>
        <w:gridCol w:w="2261"/>
        <w:gridCol w:w="3012"/>
        <w:gridCol w:w="3255"/>
      </w:tblGrid>
      <w:tr w:rsidR="00E075BC" w:rsidRPr="00D12573">
        <w:tc>
          <w:tcPr>
            <w:tcW w:w="2563" w:type="dxa"/>
            <w:shd w:val="clear" w:color="auto" w:fill="0070C0"/>
          </w:tcPr>
          <w:p w:rsidR="00B72F94" w:rsidRPr="0090531E" w:rsidRDefault="00B72F94" w:rsidP="00830CB7">
            <w:pPr>
              <w:jc w:val="center"/>
              <w:rPr>
                <w:rFonts w:ascii="Calibri" w:hAnsi="Calibri" w:cs="Arial"/>
                <w:b/>
                <w:color w:val="FFFFFF"/>
                <w:szCs w:val="22"/>
              </w:rPr>
            </w:pPr>
          </w:p>
          <w:p w:rsidR="00B72F94" w:rsidRPr="0090531E" w:rsidRDefault="00B72F94" w:rsidP="00830CB7">
            <w:pPr>
              <w:rPr>
                <w:rFonts w:ascii="Calibri" w:hAnsi="Calibri" w:cs="Arial"/>
                <w:b/>
                <w:color w:val="FFFFFF"/>
                <w:szCs w:val="22"/>
              </w:rPr>
            </w:pPr>
            <w:r w:rsidRPr="0090531E">
              <w:rPr>
                <w:rFonts w:ascii="Calibri" w:hAnsi="Calibri" w:cs="Arial"/>
                <w:b/>
                <w:color w:val="FFFFFF"/>
                <w:szCs w:val="22"/>
              </w:rPr>
              <w:t>CRITERIA</w:t>
            </w:r>
          </w:p>
        </w:tc>
        <w:tc>
          <w:tcPr>
            <w:tcW w:w="3665" w:type="dxa"/>
            <w:shd w:val="clear" w:color="auto" w:fill="0070C0"/>
          </w:tcPr>
          <w:p w:rsidR="00B72F94" w:rsidRPr="0090531E" w:rsidRDefault="00B72F94" w:rsidP="00830CB7">
            <w:pPr>
              <w:jc w:val="center"/>
              <w:rPr>
                <w:rFonts w:ascii="Calibri" w:hAnsi="Calibri" w:cs="Arial"/>
                <w:b/>
                <w:color w:val="FFFFFF"/>
                <w:szCs w:val="22"/>
              </w:rPr>
            </w:pPr>
          </w:p>
          <w:p w:rsidR="00B72F94" w:rsidRPr="0090531E" w:rsidRDefault="00B72F94" w:rsidP="00830CB7">
            <w:pPr>
              <w:spacing w:before="120"/>
              <w:rPr>
                <w:rFonts w:ascii="Calibri" w:hAnsi="Calibri"/>
                <w:color w:val="FFFFFF"/>
                <w:szCs w:val="22"/>
              </w:rPr>
            </w:pPr>
            <w:r w:rsidRPr="0090531E">
              <w:rPr>
                <w:rFonts w:ascii="Calibri" w:hAnsi="Calibri" w:cs="Arial"/>
                <w:b/>
                <w:color w:val="FFFFFF"/>
                <w:szCs w:val="22"/>
              </w:rPr>
              <w:t xml:space="preserve">OPTION 1 - </w:t>
            </w:r>
            <w:r w:rsidRPr="0090531E">
              <w:rPr>
                <w:rFonts w:ascii="Calibri" w:hAnsi="Calibri" w:cs="Arial"/>
                <w:color w:val="FFFFFF"/>
                <w:szCs w:val="22"/>
              </w:rPr>
              <w:t xml:space="preserve">Do </w:t>
            </w:r>
            <w:r w:rsidR="00055B75">
              <w:rPr>
                <w:rFonts w:ascii="Calibri" w:hAnsi="Calibri" w:cs="Arial"/>
                <w:color w:val="FFFFFF"/>
                <w:szCs w:val="22"/>
              </w:rPr>
              <w:t>minimum/</w:t>
            </w:r>
            <w:r w:rsidRPr="0090531E">
              <w:rPr>
                <w:rFonts w:ascii="Calibri" w:hAnsi="Calibri" w:cs="Arial"/>
                <w:color w:val="FFFFFF"/>
                <w:szCs w:val="22"/>
              </w:rPr>
              <w:t xml:space="preserve">nothing </w:t>
            </w:r>
          </w:p>
          <w:p w:rsidR="00B72F94" w:rsidRPr="0090531E" w:rsidRDefault="00B72F94" w:rsidP="00830CB7">
            <w:pPr>
              <w:jc w:val="center"/>
              <w:rPr>
                <w:rFonts w:ascii="Calibri" w:hAnsi="Calibri" w:cs="Arial"/>
                <w:b/>
                <w:color w:val="FFFFFF"/>
                <w:szCs w:val="22"/>
              </w:rPr>
            </w:pPr>
          </w:p>
        </w:tc>
        <w:tc>
          <w:tcPr>
            <w:tcW w:w="3960" w:type="dxa"/>
            <w:shd w:val="clear" w:color="auto" w:fill="0070C0"/>
          </w:tcPr>
          <w:p w:rsidR="00B72F94" w:rsidRPr="0090531E" w:rsidRDefault="00B72F94" w:rsidP="00830CB7">
            <w:pPr>
              <w:jc w:val="center"/>
              <w:rPr>
                <w:rFonts w:ascii="Calibri" w:hAnsi="Calibri" w:cs="Arial"/>
                <w:b/>
                <w:color w:val="FFFFFF"/>
                <w:szCs w:val="22"/>
              </w:rPr>
            </w:pPr>
          </w:p>
          <w:p w:rsidR="00B72F94" w:rsidRPr="003E1118" w:rsidRDefault="00B72F94" w:rsidP="00830CB7">
            <w:pPr>
              <w:rPr>
                <w:rFonts w:ascii="Calibri" w:hAnsi="Calibri"/>
                <w:color w:val="FFFFFF"/>
                <w:szCs w:val="22"/>
              </w:rPr>
            </w:pPr>
            <w:r w:rsidRPr="0090531E">
              <w:rPr>
                <w:rFonts w:ascii="Calibri" w:hAnsi="Calibri" w:cs="Arial"/>
                <w:b/>
                <w:color w:val="FFFFFF"/>
                <w:szCs w:val="22"/>
              </w:rPr>
              <w:t xml:space="preserve">OPTION 2 - </w:t>
            </w:r>
            <w:r w:rsidR="003E1118" w:rsidRPr="003E1118">
              <w:rPr>
                <w:rFonts w:ascii="Calibri" w:hAnsi="Calibri"/>
                <w:b/>
                <w:color w:val="FFFFFF"/>
                <w:sz w:val="22"/>
                <w:szCs w:val="22"/>
              </w:rPr>
              <w:t xml:space="preserve"> </w:t>
            </w:r>
            <w:r w:rsidR="003E1118" w:rsidRPr="003E1118">
              <w:rPr>
                <w:rFonts w:ascii="Calibri" w:hAnsi="Calibri"/>
                <w:color w:val="FFFFFF"/>
                <w:sz w:val="22"/>
                <w:szCs w:val="22"/>
              </w:rPr>
              <w:t>Physiotherapy Low Back Pain Pathway</w:t>
            </w:r>
          </w:p>
          <w:p w:rsidR="00B72F94" w:rsidRPr="0090531E" w:rsidRDefault="00B72F94" w:rsidP="00830CB7">
            <w:pPr>
              <w:jc w:val="center"/>
              <w:rPr>
                <w:rFonts w:ascii="Calibri" w:hAnsi="Calibri" w:cs="Arial"/>
                <w:b/>
                <w:color w:val="FFFFFF"/>
                <w:szCs w:val="22"/>
              </w:rPr>
            </w:pPr>
          </w:p>
        </w:tc>
      </w:tr>
      <w:tr w:rsidR="00E075BC" w:rsidRPr="00D12573">
        <w:tc>
          <w:tcPr>
            <w:tcW w:w="2563" w:type="dxa"/>
            <w:shd w:val="clear" w:color="auto" w:fill="FFFFFF"/>
          </w:tcPr>
          <w:p w:rsidR="00B72F94" w:rsidRPr="0090531E" w:rsidRDefault="00B72F94" w:rsidP="00830CB7">
            <w:pPr>
              <w:rPr>
                <w:rFonts w:ascii="Calibri" w:hAnsi="Calibri" w:cs="Arial"/>
                <w:b/>
                <w:sz w:val="22"/>
                <w:szCs w:val="22"/>
              </w:rPr>
            </w:pPr>
          </w:p>
          <w:p w:rsidR="00B72F94" w:rsidRPr="0090531E" w:rsidRDefault="00B72F94" w:rsidP="00830CB7">
            <w:pPr>
              <w:rPr>
                <w:rFonts w:ascii="Calibri" w:hAnsi="Calibri" w:cs="Arial"/>
                <w:b/>
                <w:sz w:val="22"/>
                <w:szCs w:val="22"/>
              </w:rPr>
            </w:pPr>
            <w:r w:rsidRPr="0090531E">
              <w:rPr>
                <w:rFonts w:ascii="Calibri" w:hAnsi="Calibri" w:cs="Arial"/>
                <w:b/>
                <w:sz w:val="22"/>
                <w:szCs w:val="22"/>
              </w:rPr>
              <w:t>ADVANTAGES</w:t>
            </w:r>
          </w:p>
          <w:p w:rsidR="00B72F94" w:rsidRPr="0090531E" w:rsidRDefault="00B72F94" w:rsidP="00830CB7">
            <w:pPr>
              <w:rPr>
                <w:rFonts w:ascii="Calibri" w:hAnsi="Calibri" w:cs="Arial"/>
                <w:b/>
                <w:sz w:val="22"/>
                <w:szCs w:val="22"/>
              </w:rPr>
            </w:pPr>
          </w:p>
        </w:tc>
        <w:tc>
          <w:tcPr>
            <w:tcW w:w="3665" w:type="dxa"/>
          </w:tcPr>
          <w:p w:rsidR="00B72F94" w:rsidRPr="00D12573" w:rsidRDefault="00B72F94" w:rsidP="00830CB7">
            <w:pPr>
              <w:spacing w:before="120"/>
              <w:rPr>
                <w:rFonts w:ascii="Calibri" w:hAnsi="Calibri"/>
                <w:sz w:val="22"/>
                <w:szCs w:val="22"/>
              </w:rPr>
            </w:pPr>
            <w:r w:rsidRPr="00D12573">
              <w:rPr>
                <w:rFonts w:ascii="Calibri" w:hAnsi="Calibri" w:cs="Arial"/>
                <w:sz w:val="22"/>
                <w:szCs w:val="22"/>
              </w:rPr>
              <w:t>This represents the ‘</w:t>
            </w:r>
            <w:r w:rsidR="00055B75">
              <w:rPr>
                <w:rFonts w:ascii="Calibri" w:hAnsi="Calibri" w:cs="Arial"/>
                <w:sz w:val="22"/>
                <w:szCs w:val="22"/>
              </w:rPr>
              <w:t>minimal/</w:t>
            </w:r>
            <w:r w:rsidRPr="00D12573">
              <w:rPr>
                <w:rFonts w:ascii="Calibri" w:hAnsi="Calibri" w:cs="Arial"/>
                <w:sz w:val="22"/>
                <w:szCs w:val="22"/>
              </w:rPr>
              <w:t xml:space="preserve">no change’ option. The only advantage is that no </w:t>
            </w:r>
            <w:r>
              <w:rPr>
                <w:rFonts w:ascii="Calibri" w:hAnsi="Calibri" w:cs="Arial"/>
                <w:sz w:val="22"/>
                <w:szCs w:val="22"/>
              </w:rPr>
              <w:t>change in</w:t>
            </w:r>
            <w:r w:rsidRPr="00D12573">
              <w:rPr>
                <w:rFonts w:ascii="Calibri" w:hAnsi="Calibri" w:cs="Arial"/>
                <w:sz w:val="22"/>
                <w:szCs w:val="22"/>
              </w:rPr>
              <w:t xml:space="preserve"> </w:t>
            </w:r>
            <w:r>
              <w:rPr>
                <w:rFonts w:ascii="Calibri" w:hAnsi="Calibri" w:cs="Arial"/>
                <w:sz w:val="22"/>
                <w:szCs w:val="22"/>
              </w:rPr>
              <w:t xml:space="preserve">shift of </w:t>
            </w:r>
            <w:r w:rsidRPr="00D12573">
              <w:rPr>
                <w:rFonts w:ascii="Calibri" w:hAnsi="Calibri" w:cs="Arial"/>
                <w:sz w:val="22"/>
                <w:szCs w:val="22"/>
              </w:rPr>
              <w:t xml:space="preserve">investment </w:t>
            </w:r>
            <w:r>
              <w:rPr>
                <w:rFonts w:ascii="Calibri" w:hAnsi="Calibri" w:cs="Arial"/>
                <w:sz w:val="22"/>
                <w:szCs w:val="22"/>
              </w:rPr>
              <w:t xml:space="preserve">and associated redesign </w:t>
            </w:r>
            <w:r w:rsidRPr="00D12573">
              <w:rPr>
                <w:rFonts w:ascii="Calibri" w:hAnsi="Calibri" w:cs="Arial"/>
                <w:sz w:val="22"/>
                <w:szCs w:val="22"/>
              </w:rPr>
              <w:t xml:space="preserve">would be required. </w:t>
            </w:r>
          </w:p>
          <w:p w:rsidR="00B72F94" w:rsidRPr="00D12573" w:rsidRDefault="00B72F94" w:rsidP="00830CB7">
            <w:pPr>
              <w:rPr>
                <w:rFonts w:ascii="Calibri" w:hAnsi="Calibri" w:cs="Arial"/>
                <w:b/>
                <w:sz w:val="22"/>
                <w:szCs w:val="22"/>
              </w:rPr>
            </w:pPr>
          </w:p>
        </w:tc>
        <w:tc>
          <w:tcPr>
            <w:tcW w:w="3960" w:type="dxa"/>
          </w:tcPr>
          <w:p w:rsidR="003E1118" w:rsidRPr="003E1118" w:rsidRDefault="003E1118" w:rsidP="003E1118">
            <w:pPr>
              <w:numPr>
                <w:ilvl w:val="0"/>
                <w:numId w:val="12"/>
              </w:numPr>
              <w:rPr>
                <w:rFonts w:ascii="Calibri" w:hAnsi="Calibri"/>
                <w:sz w:val="22"/>
                <w:szCs w:val="22"/>
              </w:rPr>
            </w:pPr>
            <w:r>
              <w:rPr>
                <w:rFonts w:ascii="Calibri" w:hAnsi="Calibri" w:cs="Arial"/>
                <w:sz w:val="22"/>
                <w:szCs w:val="22"/>
              </w:rPr>
              <w:t>Ensures early identification and effective management of low back pain</w:t>
            </w:r>
          </w:p>
          <w:p w:rsidR="003E1118" w:rsidRPr="003E1118" w:rsidRDefault="003E1118" w:rsidP="003E1118">
            <w:pPr>
              <w:numPr>
                <w:ilvl w:val="0"/>
                <w:numId w:val="12"/>
              </w:numPr>
              <w:rPr>
                <w:rFonts w:ascii="Calibri" w:hAnsi="Calibri"/>
                <w:sz w:val="22"/>
                <w:szCs w:val="22"/>
              </w:rPr>
            </w:pPr>
            <w:r>
              <w:rPr>
                <w:rFonts w:ascii="Calibri" w:hAnsi="Calibri" w:cs="Arial"/>
                <w:sz w:val="22"/>
                <w:szCs w:val="22"/>
              </w:rPr>
              <w:t>Direct route to appropriate health care provider</w:t>
            </w:r>
          </w:p>
          <w:p w:rsidR="00B72F94" w:rsidRDefault="003E1118" w:rsidP="003E1118">
            <w:pPr>
              <w:numPr>
                <w:ilvl w:val="0"/>
                <w:numId w:val="12"/>
              </w:numPr>
              <w:rPr>
                <w:rFonts w:ascii="Calibri" w:hAnsi="Calibri" w:cs="Arial"/>
                <w:sz w:val="22"/>
                <w:szCs w:val="22"/>
              </w:rPr>
            </w:pPr>
            <w:r w:rsidRPr="003E1118">
              <w:rPr>
                <w:rFonts w:ascii="Calibri" w:hAnsi="Calibri" w:cs="Arial"/>
                <w:sz w:val="22"/>
                <w:szCs w:val="22"/>
              </w:rPr>
              <w:t xml:space="preserve">Reduces handover and duplication of assessment and management </w:t>
            </w:r>
          </w:p>
          <w:p w:rsidR="003E1118" w:rsidRDefault="003E1118" w:rsidP="003E1118">
            <w:pPr>
              <w:numPr>
                <w:ilvl w:val="0"/>
                <w:numId w:val="12"/>
              </w:numPr>
              <w:rPr>
                <w:rFonts w:ascii="Calibri" w:hAnsi="Calibri" w:cs="Arial"/>
                <w:sz w:val="22"/>
                <w:szCs w:val="22"/>
              </w:rPr>
            </w:pPr>
            <w:r>
              <w:rPr>
                <w:rFonts w:ascii="Calibri" w:hAnsi="Calibri" w:cs="Arial"/>
                <w:sz w:val="22"/>
                <w:szCs w:val="22"/>
              </w:rPr>
              <w:t>Cost effective</w:t>
            </w:r>
          </w:p>
          <w:p w:rsidR="003E1118" w:rsidRPr="003E1118" w:rsidRDefault="004F3CE6" w:rsidP="003E1118">
            <w:pPr>
              <w:numPr>
                <w:ilvl w:val="0"/>
                <w:numId w:val="12"/>
              </w:numPr>
              <w:rPr>
                <w:rFonts w:ascii="Calibri" w:hAnsi="Calibri" w:cs="Arial"/>
                <w:sz w:val="22"/>
                <w:szCs w:val="22"/>
              </w:rPr>
            </w:pPr>
            <w:r>
              <w:rPr>
                <w:rFonts w:ascii="Calibri" w:hAnsi="Calibri" w:cs="Arial"/>
                <w:sz w:val="22"/>
                <w:szCs w:val="22"/>
              </w:rPr>
              <w:t xml:space="preserve">Patient </w:t>
            </w:r>
            <w:r w:rsidR="003E1118">
              <w:rPr>
                <w:rFonts w:ascii="Calibri" w:hAnsi="Calibri" w:cs="Arial"/>
                <w:sz w:val="22"/>
                <w:szCs w:val="22"/>
              </w:rPr>
              <w:t xml:space="preserve">Care experience </w:t>
            </w:r>
            <w:r>
              <w:rPr>
                <w:rFonts w:ascii="Calibri" w:hAnsi="Calibri" w:cs="Arial"/>
                <w:sz w:val="22"/>
                <w:szCs w:val="22"/>
              </w:rPr>
              <w:t xml:space="preserve">is </w:t>
            </w:r>
            <w:r w:rsidR="003E1118">
              <w:rPr>
                <w:rFonts w:ascii="Calibri" w:hAnsi="Calibri" w:cs="Arial"/>
                <w:sz w:val="22"/>
                <w:szCs w:val="22"/>
              </w:rPr>
              <w:t>enhanced</w:t>
            </w:r>
          </w:p>
        </w:tc>
      </w:tr>
      <w:tr w:rsidR="00E075BC" w:rsidRPr="00D12573">
        <w:tc>
          <w:tcPr>
            <w:tcW w:w="2563" w:type="dxa"/>
            <w:shd w:val="clear" w:color="auto" w:fill="FFFFFF"/>
          </w:tcPr>
          <w:p w:rsidR="00B72F94" w:rsidRPr="0090531E" w:rsidRDefault="00B72F94" w:rsidP="00830CB7">
            <w:pPr>
              <w:rPr>
                <w:rFonts w:ascii="Calibri" w:hAnsi="Calibri" w:cs="Arial"/>
                <w:b/>
                <w:sz w:val="22"/>
                <w:szCs w:val="22"/>
              </w:rPr>
            </w:pPr>
          </w:p>
          <w:p w:rsidR="00B72F94" w:rsidRPr="0090531E" w:rsidRDefault="00B72F94" w:rsidP="00830CB7">
            <w:pPr>
              <w:rPr>
                <w:rFonts w:ascii="Calibri" w:hAnsi="Calibri" w:cs="Arial"/>
                <w:b/>
                <w:sz w:val="22"/>
                <w:szCs w:val="22"/>
              </w:rPr>
            </w:pPr>
            <w:r w:rsidRPr="0090531E">
              <w:rPr>
                <w:rFonts w:ascii="Calibri" w:hAnsi="Calibri" w:cs="Arial"/>
                <w:b/>
                <w:sz w:val="22"/>
                <w:szCs w:val="22"/>
              </w:rPr>
              <w:t>DISADVANT</w:t>
            </w:r>
            <w:r>
              <w:rPr>
                <w:rFonts w:ascii="Calibri" w:hAnsi="Calibri" w:cs="Arial"/>
                <w:b/>
                <w:sz w:val="22"/>
                <w:szCs w:val="22"/>
              </w:rPr>
              <w:t>A</w:t>
            </w:r>
            <w:r w:rsidRPr="0090531E">
              <w:rPr>
                <w:rFonts w:ascii="Calibri" w:hAnsi="Calibri" w:cs="Arial"/>
                <w:b/>
                <w:sz w:val="22"/>
                <w:szCs w:val="22"/>
              </w:rPr>
              <w:t>GES</w:t>
            </w:r>
          </w:p>
          <w:p w:rsidR="00B72F94" w:rsidRPr="0090531E" w:rsidRDefault="00B72F94" w:rsidP="00830CB7">
            <w:pPr>
              <w:rPr>
                <w:rFonts w:ascii="Calibri" w:hAnsi="Calibri" w:cs="Arial"/>
                <w:b/>
                <w:sz w:val="22"/>
                <w:szCs w:val="22"/>
              </w:rPr>
            </w:pPr>
          </w:p>
        </w:tc>
        <w:tc>
          <w:tcPr>
            <w:tcW w:w="3665" w:type="dxa"/>
          </w:tcPr>
          <w:p w:rsidR="004F3CE6" w:rsidRDefault="004F3CE6" w:rsidP="00830CB7">
            <w:pPr>
              <w:rPr>
                <w:rFonts w:ascii="Calibri" w:hAnsi="Calibri"/>
                <w:sz w:val="22"/>
                <w:szCs w:val="22"/>
              </w:rPr>
            </w:pPr>
          </w:p>
          <w:p w:rsidR="00B72F94" w:rsidRPr="00D12573" w:rsidRDefault="00B72F94" w:rsidP="00830CB7">
            <w:pPr>
              <w:rPr>
                <w:rFonts w:ascii="Calibri" w:hAnsi="Calibri"/>
                <w:sz w:val="22"/>
                <w:szCs w:val="22"/>
              </w:rPr>
            </w:pPr>
            <w:r>
              <w:rPr>
                <w:rFonts w:ascii="Calibri" w:hAnsi="Calibri"/>
                <w:sz w:val="22"/>
                <w:szCs w:val="22"/>
              </w:rPr>
              <w:t xml:space="preserve">The organisation will continue to refer patients with low back pain to hospital orthopaedic departments for assessment and management when conversion to surgery rates for this problem are low (2%) adding to the patient journey and </w:t>
            </w:r>
            <w:r w:rsidR="004F3CE6">
              <w:rPr>
                <w:rFonts w:ascii="Calibri" w:hAnsi="Calibri"/>
                <w:sz w:val="22"/>
                <w:szCs w:val="22"/>
              </w:rPr>
              <w:t xml:space="preserve">continuing </w:t>
            </w:r>
            <w:r>
              <w:rPr>
                <w:rFonts w:ascii="Calibri" w:hAnsi="Calibri"/>
                <w:sz w:val="22"/>
                <w:szCs w:val="22"/>
              </w:rPr>
              <w:t xml:space="preserve"> unnecessary</w:t>
            </w:r>
            <w:r w:rsidR="004F3CE6">
              <w:rPr>
                <w:rFonts w:ascii="Calibri" w:hAnsi="Calibri"/>
                <w:sz w:val="22"/>
                <w:szCs w:val="22"/>
              </w:rPr>
              <w:t xml:space="preserve"> steps in this patient journey</w:t>
            </w:r>
            <w:r w:rsidRPr="00D12573">
              <w:rPr>
                <w:rFonts w:ascii="Calibri" w:hAnsi="Calibri" w:cs="Arial"/>
                <w:sz w:val="22"/>
                <w:szCs w:val="22"/>
              </w:rPr>
              <w:t xml:space="preserve"> </w:t>
            </w:r>
          </w:p>
          <w:p w:rsidR="00B72F94" w:rsidRPr="00D12573" w:rsidRDefault="00B72F94" w:rsidP="00830CB7">
            <w:pPr>
              <w:rPr>
                <w:rFonts w:ascii="Calibri" w:hAnsi="Calibri" w:cs="Arial"/>
                <w:b/>
                <w:sz w:val="22"/>
                <w:szCs w:val="22"/>
              </w:rPr>
            </w:pPr>
          </w:p>
        </w:tc>
        <w:tc>
          <w:tcPr>
            <w:tcW w:w="3960" w:type="dxa"/>
          </w:tcPr>
          <w:p w:rsidR="004F3CE6" w:rsidRDefault="004F3CE6" w:rsidP="00830CB7">
            <w:pPr>
              <w:rPr>
                <w:rFonts w:ascii="Calibri" w:hAnsi="Calibri"/>
                <w:sz w:val="22"/>
                <w:szCs w:val="22"/>
              </w:rPr>
            </w:pPr>
          </w:p>
          <w:p w:rsidR="0008379E" w:rsidRDefault="00B72F94" w:rsidP="00830CB7">
            <w:pPr>
              <w:rPr>
                <w:rFonts w:ascii="Calibri" w:hAnsi="Calibri"/>
                <w:sz w:val="22"/>
                <w:szCs w:val="22"/>
              </w:rPr>
            </w:pPr>
            <w:r w:rsidRPr="00D12573">
              <w:rPr>
                <w:rFonts w:ascii="Calibri" w:hAnsi="Calibri"/>
                <w:sz w:val="22"/>
                <w:szCs w:val="22"/>
              </w:rPr>
              <w:t>The cost of commissioning additional physiotherapy sessions, including the associated overheads</w:t>
            </w:r>
            <w:r w:rsidR="0008379E">
              <w:rPr>
                <w:rFonts w:ascii="Calibri" w:hAnsi="Calibri"/>
                <w:sz w:val="22"/>
                <w:szCs w:val="22"/>
              </w:rPr>
              <w:t>, with the acceptance, cultural shift and service redesign required to progress.</w:t>
            </w:r>
          </w:p>
          <w:p w:rsidR="004F3CE6" w:rsidRDefault="004F3CE6" w:rsidP="00830CB7">
            <w:pPr>
              <w:rPr>
                <w:rFonts w:ascii="Calibri" w:hAnsi="Calibri"/>
                <w:sz w:val="22"/>
                <w:szCs w:val="22"/>
              </w:rPr>
            </w:pPr>
          </w:p>
          <w:p w:rsidR="00B72F94" w:rsidRPr="00D12573" w:rsidRDefault="0008379E" w:rsidP="00830CB7">
            <w:pPr>
              <w:rPr>
                <w:rFonts w:ascii="Calibri" w:hAnsi="Calibri"/>
                <w:sz w:val="22"/>
                <w:szCs w:val="22"/>
              </w:rPr>
            </w:pPr>
            <w:r>
              <w:rPr>
                <w:rFonts w:ascii="Calibri" w:hAnsi="Calibri"/>
                <w:sz w:val="22"/>
                <w:szCs w:val="22"/>
              </w:rPr>
              <w:t xml:space="preserve">The cost </w:t>
            </w:r>
            <w:r w:rsidR="004F3CE6">
              <w:rPr>
                <w:rFonts w:ascii="Calibri" w:hAnsi="Calibri"/>
                <w:sz w:val="22"/>
                <w:szCs w:val="22"/>
              </w:rPr>
              <w:t xml:space="preserve">however </w:t>
            </w:r>
            <w:r>
              <w:rPr>
                <w:rFonts w:ascii="Calibri" w:hAnsi="Calibri"/>
                <w:sz w:val="22"/>
                <w:szCs w:val="22"/>
              </w:rPr>
              <w:t>should be met by transfer of resource from hospital orthopaedic resource and will present a significant cost saving</w:t>
            </w:r>
          </w:p>
          <w:p w:rsidR="00B72F94" w:rsidRPr="00D12573" w:rsidRDefault="00B72F94" w:rsidP="00830CB7">
            <w:pPr>
              <w:rPr>
                <w:rFonts w:ascii="Calibri" w:hAnsi="Calibri" w:cs="Arial"/>
                <w:b/>
                <w:sz w:val="22"/>
                <w:szCs w:val="22"/>
              </w:rPr>
            </w:pPr>
          </w:p>
        </w:tc>
      </w:tr>
      <w:tr w:rsidR="00E075BC" w:rsidRPr="00D12573">
        <w:tc>
          <w:tcPr>
            <w:tcW w:w="2563" w:type="dxa"/>
            <w:shd w:val="clear" w:color="auto" w:fill="FFFFFF"/>
          </w:tcPr>
          <w:p w:rsidR="00B72F94" w:rsidRPr="0090531E" w:rsidRDefault="00B72F94" w:rsidP="00830CB7">
            <w:pPr>
              <w:rPr>
                <w:rFonts w:ascii="Calibri" w:hAnsi="Calibri" w:cs="Arial"/>
                <w:b/>
                <w:sz w:val="22"/>
                <w:szCs w:val="22"/>
              </w:rPr>
            </w:pPr>
          </w:p>
          <w:p w:rsidR="00B72F94" w:rsidRPr="0090531E" w:rsidRDefault="00B72F94" w:rsidP="00830CB7">
            <w:pPr>
              <w:rPr>
                <w:rFonts w:ascii="Calibri" w:hAnsi="Calibri" w:cs="Arial"/>
                <w:b/>
                <w:sz w:val="22"/>
                <w:szCs w:val="22"/>
              </w:rPr>
            </w:pPr>
            <w:r w:rsidRPr="0090531E">
              <w:rPr>
                <w:rFonts w:ascii="Calibri" w:hAnsi="Calibri" w:cs="Arial"/>
                <w:b/>
                <w:sz w:val="22"/>
                <w:szCs w:val="22"/>
              </w:rPr>
              <w:t>COSTS</w:t>
            </w:r>
          </w:p>
          <w:p w:rsidR="00B72F94" w:rsidRPr="0090531E" w:rsidRDefault="00B72F94" w:rsidP="00830CB7">
            <w:pPr>
              <w:ind w:left="720"/>
              <w:rPr>
                <w:rFonts w:ascii="Calibri" w:hAnsi="Calibri" w:cs="Arial"/>
                <w:b/>
                <w:sz w:val="22"/>
                <w:szCs w:val="22"/>
              </w:rPr>
            </w:pPr>
          </w:p>
        </w:tc>
        <w:tc>
          <w:tcPr>
            <w:tcW w:w="3665" w:type="dxa"/>
          </w:tcPr>
          <w:p w:rsidR="004F3CE6" w:rsidRDefault="004F3CE6" w:rsidP="00830CB7">
            <w:pPr>
              <w:rPr>
                <w:rFonts w:ascii="Calibri" w:hAnsi="Calibri" w:cs="Arial"/>
                <w:sz w:val="22"/>
                <w:szCs w:val="22"/>
              </w:rPr>
            </w:pPr>
          </w:p>
          <w:p w:rsidR="00B72F94" w:rsidRPr="00D12573" w:rsidRDefault="00B72F94" w:rsidP="00830CB7">
            <w:pPr>
              <w:rPr>
                <w:rFonts w:ascii="Calibri" w:hAnsi="Calibri" w:cs="Arial"/>
                <w:sz w:val="22"/>
                <w:szCs w:val="22"/>
              </w:rPr>
            </w:pPr>
            <w:r w:rsidRPr="00D12573">
              <w:rPr>
                <w:rFonts w:ascii="Calibri" w:hAnsi="Calibri" w:cs="Arial"/>
                <w:sz w:val="22"/>
                <w:szCs w:val="22"/>
              </w:rPr>
              <w:t>There would be zero additional cost.</w:t>
            </w:r>
          </w:p>
          <w:p w:rsidR="00B72F94" w:rsidRPr="00D12573" w:rsidRDefault="00B72F94" w:rsidP="00830CB7">
            <w:pPr>
              <w:rPr>
                <w:rFonts w:ascii="Calibri" w:hAnsi="Calibri"/>
                <w:sz w:val="22"/>
                <w:szCs w:val="22"/>
              </w:rPr>
            </w:pPr>
            <w:r w:rsidRPr="00D12573">
              <w:rPr>
                <w:rFonts w:ascii="Calibri" w:hAnsi="Calibri" w:cs="Arial"/>
                <w:sz w:val="22"/>
                <w:szCs w:val="22"/>
              </w:rPr>
              <w:t xml:space="preserve">However, the organisation would continue to lose [£000,000] per </w:t>
            </w:r>
            <w:r>
              <w:rPr>
                <w:rFonts w:ascii="Calibri" w:hAnsi="Calibri" w:cs="Arial"/>
                <w:sz w:val="22"/>
                <w:szCs w:val="22"/>
              </w:rPr>
              <w:t xml:space="preserve">annum </w:t>
            </w:r>
            <w:r w:rsidRPr="00D12573">
              <w:rPr>
                <w:rFonts w:ascii="Calibri" w:hAnsi="Calibri"/>
                <w:sz w:val="22"/>
                <w:szCs w:val="22"/>
              </w:rPr>
              <w:t xml:space="preserve">due to </w:t>
            </w:r>
            <w:r>
              <w:rPr>
                <w:rFonts w:ascii="Calibri" w:hAnsi="Calibri"/>
                <w:sz w:val="22"/>
                <w:szCs w:val="22"/>
              </w:rPr>
              <w:t>inappropriate referral patterns.</w:t>
            </w:r>
          </w:p>
          <w:p w:rsidR="00B72F94" w:rsidRPr="00D12573" w:rsidRDefault="00B72F94" w:rsidP="00830CB7">
            <w:pPr>
              <w:rPr>
                <w:rFonts w:ascii="Calibri" w:hAnsi="Calibri" w:cs="Arial"/>
                <w:b/>
                <w:sz w:val="22"/>
                <w:szCs w:val="22"/>
              </w:rPr>
            </w:pPr>
          </w:p>
        </w:tc>
        <w:tc>
          <w:tcPr>
            <w:tcW w:w="3960" w:type="dxa"/>
          </w:tcPr>
          <w:p w:rsidR="004F3CE6" w:rsidRDefault="004F3CE6" w:rsidP="00830CB7">
            <w:pPr>
              <w:rPr>
                <w:rFonts w:ascii="Calibri" w:hAnsi="Calibri"/>
                <w:sz w:val="22"/>
                <w:szCs w:val="22"/>
              </w:rPr>
            </w:pPr>
          </w:p>
          <w:p w:rsidR="00B72F94" w:rsidRPr="00D12573" w:rsidRDefault="00B72F94" w:rsidP="00830CB7">
            <w:pPr>
              <w:rPr>
                <w:rFonts w:ascii="Calibri" w:hAnsi="Calibri"/>
                <w:sz w:val="22"/>
                <w:szCs w:val="22"/>
              </w:rPr>
            </w:pPr>
            <w:r w:rsidRPr="00D12573">
              <w:rPr>
                <w:rFonts w:ascii="Calibri" w:hAnsi="Calibri"/>
                <w:sz w:val="22"/>
                <w:szCs w:val="22"/>
              </w:rPr>
              <w:t xml:space="preserve">[Xxx] Additional physiotherapy sessions at a cost of [£0,000] per annum at marginal cost; for an initial contract period of </w:t>
            </w:r>
            <w:r w:rsidR="00E075BC">
              <w:rPr>
                <w:rFonts w:ascii="Calibri" w:hAnsi="Calibri"/>
                <w:sz w:val="22"/>
                <w:szCs w:val="22"/>
              </w:rPr>
              <w:t xml:space="preserve">xx </w:t>
            </w:r>
            <w:r w:rsidRPr="00D12573">
              <w:rPr>
                <w:rFonts w:ascii="Calibri" w:hAnsi="Calibri"/>
                <w:sz w:val="22"/>
                <w:szCs w:val="22"/>
              </w:rPr>
              <w:t>years (subject to successful evaluation at end of year 1).</w:t>
            </w:r>
          </w:p>
          <w:p w:rsidR="00B72F94" w:rsidRDefault="00B72F94" w:rsidP="00830CB7">
            <w:pPr>
              <w:rPr>
                <w:rFonts w:ascii="Calibri" w:hAnsi="Calibri" w:cs="Arial"/>
                <w:b/>
                <w:sz w:val="22"/>
                <w:szCs w:val="22"/>
              </w:rPr>
            </w:pPr>
          </w:p>
          <w:p w:rsidR="004F3CE6" w:rsidRPr="00D12573" w:rsidRDefault="004F3CE6" w:rsidP="00830CB7">
            <w:pPr>
              <w:rPr>
                <w:rFonts w:ascii="Calibri" w:hAnsi="Calibri" w:cs="Arial"/>
                <w:b/>
                <w:sz w:val="22"/>
                <w:szCs w:val="22"/>
              </w:rPr>
            </w:pPr>
            <w:r>
              <w:rPr>
                <w:rFonts w:ascii="Calibri" w:hAnsi="Calibri" w:cs="Arial"/>
                <w:b/>
                <w:sz w:val="22"/>
                <w:szCs w:val="22"/>
              </w:rPr>
              <w:t xml:space="preserve">Cost saving compared to orthopaedic consultancy cost </w:t>
            </w:r>
            <w:r w:rsidR="009043FC">
              <w:rPr>
                <w:rFonts w:ascii="Calibri" w:hAnsi="Calibri" w:cs="Arial"/>
                <w:b/>
                <w:sz w:val="22"/>
                <w:szCs w:val="22"/>
              </w:rPr>
              <w:t>equals £xx</w:t>
            </w:r>
          </w:p>
        </w:tc>
      </w:tr>
      <w:tr w:rsidR="00E075BC" w:rsidRPr="00D12573">
        <w:tc>
          <w:tcPr>
            <w:tcW w:w="2563" w:type="dxa"/>
            <w:shd w:val="clear" w:color="auto" w:fill="FFFFFF"/>
          </w:tcPr>
          <w:p w:rsidR="00B72F94" w:rsidRPr="0090531E" w:rsidRDefault="00B72F94" w:rsidP="00830CB7">
            <w:pPr>
              <w:rPr>
                <w:rFonts w:ascii="Calibri" w:hAnsi="Calibri" w:cs="Arial"/>
                <w:b/>
                <w:sz w:val="22"/>
                <w:szCs w:val="22"/>
              </w:rPr>
            </w:pPr>
          </w:p>
          <w:p w:rsidR="00B72F94" w:rsidRPr="0090531E" w:rsidRDefault="00B72F94" w:rsidP="00830CB7">
            <w:pPr>
              <w:rPr>
                <w:rFonts w:ascii="Calibri" w:hAnsi="Calibri" w:cs="Arial"/>
                <w:b/>
                <w:sz w:val="22"/>
                <w:szCs w:val="22"/>
              </w:rPr>
            </w:pPr>
            <w:r w:rsidRPr="0090531E">
              <w:rPr>
                <w:rFonts w:ascii="Calibri" w:hAnsi="Calibri" w:cs="Arial"/>
                <w:b/>
                <w:sz w:val="22"/>
                <w:szCs w:val="22"/>
              </w:rPr>
              <w:t>WORKFORCE</w:t>
            </w:r>
          </w:p>
          <w:p w:rsidR="00B72F94" w:rsidRPr="0090531E" w:rsidRDefault="00B72F94" w:rsidP="00830CB7">
            <w:pPr>
              <w:ind w:left="720"/>
              <w:rPr>
                <w:rFonts w:ascii="Calibri" w:hAnsi="Calibri" w:cs="Arial"/>
                <w:b/>
                <w:sz w:val="22"/>
                <w:szCs w:val="22"/>
              </w:rPr>
            </w:pPr>
          </w:p>
        </w:tc>
        <w:tc>
          <w:tcPr>
            <w:tcW w:w="3665" w:type="dxa"/>
          </w:tcPr>
          <w:p w:rsidR="004F3CE6" w:rsidRDefault="004F3CE6" w:rsidP="00830CB7">
            <w:pPr>
              <w:rPr>
                <w:rFonts w:ascii="Calibri" w:hAnsi="Calibri" w:cs="Arial"/>
                <w:sz w:val="22"/>
                <w:szCs w:val="22"/>
              </w:rPr>
            </w:pPr>
          </w:p>
          <w:p w:rsidR="00B72F94" w:rsidRPr="00D12573" w:rsidRDefault="00B72F94" w:rsidP="00830CB7">
            <w:pPr>
              <w:rPr>
                <w:rFonts w:ascii="Calibri" w:hAnsi="Calibri" w:cs="Arial"/>
                <w:sz w:val="22"/>
                <w:szCs w:val="22"/>
              </w:rPr>
            </w:pPr>
            <w:r w:rsidRPr="00D12573">
              <w:rPr>
                <w:rFonts w:ascii="Calibri" w:hAnsi="Calibri" w:cs="Arial"/>
                <w:sz w:val="22"/>
                <w:szCs w:val="22"/>
              </w:rPr>
              <w:t>There would be no workforce changes.</w:t>
            </w:r>
          </w:p>
          <w:p w:rsidR="00B72F94" w:rsidRPr="00D12573" w:rsidRDefault="00B72F94" w:rsidP="00830CB7">
            <w:pPr>
              <w:rPr>
                <w:rFonts w:ascii="Calibri" w:hAnsi="Calibri" w:cs="Arial"/>
                <w:b/>
                <w:sz w:val="22"/>
                <w:szCs w:val="22"/>
              </w:rPr>
            </w:pPr>
          </w:p>
        </w:tc>
        <w:tc>
          <w:tcPr>
            <w:tcW w:w="3960" w:type="dxa"/>
          </w:tcPr>
          <w:p w:rsidR="004F3CE6" w:rsidRDefault="004F3CE6" w:rsidP="00830CB7">
            <w:pPr>
              <w:rPr>
                <w:rFonts w:ascii="Calibri" w:hAnsi="Calibri"/>
                <w:sz w:val="22"/>
                <w:szCs w:val="22"/>
              </w:rPr>
            </w:pPr>
          </w:p>
          <w:p w:rsidR="00B72F94" w:rsidRPr="00D12573" w:rsidRDefault="00B72F94" w:rsidP="00830CB7">
            <w:pPr>
              <w:rPr>
                <w:rFonts w:ascii="Calibri" w:hAnsi="Calibri"/>
                <w:sz w:val="22"/>
                <w:szCs w:val="22"/>
              </w:rPr>
            </w:pPr>
            <w:r w:rsidRPr="00D12573">
              <w:rPr>
                <w:rFonts w:ascii="Calibri" w:hAnsi="Calibri"/>
                <w:sz w:val="22"/>
                <w:szCs w:val="22"/>
              </w:rPr>
              <w:t xml:space="preserve">[0.0] </w:t>
            </w:r>
            <w:proofErr w:type="spellStart"/>
            <w:r w:rsidR="009043FC" w:rsidRPr="00D12573">
              <w:rPr>
                <w:rFonts w:ascii="Calibri" w:hAnsi="Calibri"/>
                <w:sz w:val="22"/>
                <w:szCs w:val="22"/>
              </w:rPr>
              <w:t>w.t.e</w:t>
            </w:r>
            <w:proofErr w:type="spellEnd"/>
            <w:r w:rsidRPr="00D12573">
              <w:rPr>
                <w:rFonts w:ascii="Calibri" w:hAnsi="Calibri"/>
                <w:sz w:val="22"/>
                <w:szCs w:val="22"/>
              </w:rPr>
              <w:t xml:space="preserve"> additional physiotherapy sessions at </w:t>
            </w:r>
            <w:proofErr w:type="spellStart"/>
            <w:r w:rsidR="003E1118">
              <w:rPr>
                <w:rFonts w:ascii="Calibri" w:hAnsi="Calibri"/>
                <w:sz w:val="22"/>
                <w:szCs w:val="22"/>
              </w:rPr>
              <w:t>AfC</w:t>
            </w:r>
            <w:proofErr w:type="spellEnd"/>
            <w:r w:rsidR="003E1118">
              <w:rPr>
                <w:rFonts w:ascii="Calibri" w:hAnsi="Calibri"/>
                <w:sz w:val="22"/>
                <w:szCs w:val="22"/>
              </w:rPr>
              <w:t xml:space="preserve"> Band </w:t>
            </w:r>
            <w:proofErr w:type="spellStart"/>
            <w:r w:rsidR="003E1118">
              <w:rPr>
                <w:rFonts w:ascii="Calibri" w:hAnsi="Calibri"/>
                <w:sz w:val="22"/>
                <w:szCs w:val="22"/>
              </w:rPr>
              <w:t>x,x</w:t>
            </w:r>
            <w:proofErr w:type="spellEnd"/>
            <w:r w:rsidR="00E075BC">
              <w:rPr>
                <w:rFonts w:ascii="Calibri" w:hAnsi="Calibri"/>
                <w:sz w:val="22"/>
                <w:szCs w:val="22"/>
              </w:rPr>
              <w:t xml:space="preserve"> </w:t>
            </w:r>
            <w:r w:rsidRPr="00D12573">
              <w:rPr>
                <w:rFonts w:ascii="Calibri" w:hAnsi="Calibri"/>
                <w:sz w:val="22"/>
                <w:szCs w:val="22"/>
              </w:rPr>
              <w:t>Grade.</w:t>
            </w:r>
            <w:r w:rsidR="00E075BC">
              <w:rPr>
                <w:rFonts w:ascii="Calibri" w:hAnsi="Calibri"/>
                <w:sz w:val="22"/>
                <w:szCs w:val="22"/>
              </w:rPr>
              <w:t xml:space="preserve"> This will be dependent on current service structure and skill mix needs.</w:t>
            </w:r>
          </w:p>
          <w:p w:rsidR="00B72F94" w:rsidRPr="00D12573" w:rsidRDefault="00B72F94" w:rsidP="00830CB7">
            <w:pPr>
              <w:rPr>
                <w:rFonts w:ascii="Calibri" w:hAnsi="Calibri" w:cs="Arial"/>
                <w:b/>
                <w:sz w:val="22"/>
                <w:szCs w:val="22"/>
              </w:rPr>
            </w:pPr>
          </w:p>
        </w:tc>
      </w:tr>
      <w:tr w:rsidR="00E075BC" w:rsidRPr="00D12573">
        <w:tc>
          <w:tcPr>
            <w:tcW w:w="2563" w:type="dxa"/>
            <w:shd w:val="clear" w:color="auto" w:fill="FFFFFF"/>
          </w:tcPr>
          <w:p w:rsidR="00B72F94" w:rsidRPr="0090531E" w:rsidRDefault="00B72F94" w:rsidP="00830CB7">
            <w:pPr>
              <w:rPr>
                <w:rFonts w:ascii="Calibri" w:hAnsi="Calibri" w:cs="Arial"/>
                <w:b/>
                <w:sz w:val="22"/>
                <w:szCs w:val="22"/>
              </w:rPr>
            </w:pPr>
            <w:r w:rsidRPr="0090531E">
              <w:rPr>
                <w:rFonts w:ascii="Calibri" w:hAnsi="Calibri" w:cs="Arial"/>
                <w:b/>
                <w:sz w:val="22"/>
                <w:szCs w:val="22"/>
              </w:rPr>
              <w:t>RISKS - THREATS</w:t>
            </w:r>
          </w:p>
          <w:p w:rsidR="00B72F94" w:rsidRPr="0090531E" w:rsidRDefault="00B72F94" w:rsidP="00830CB7">
            <w:pPr>
              <w:rPr>
                <w:rFonts w:ascii="Calibri" w:hAnsi="Calibri" w:cs="Arial"/>
                <w:b/>
                <w:sz w:val="22"/>
                <w:szCs w:val="22"/>
              </w:rPr>
            </w:pPr>
          </w:p>
        </w:tc>
        <w:tc>
          <w:tcPr>
            <w:tcW w:w="3665" w:type="dxa"/>
          </w:tcPr>
          <w:p w:rsidR="00B72F94" w:rsidRPr="00D12573" w:rsidRDefault="004F3CE6" w:rsidP="00830CB7">
            <w:pPr>
              <w:spacing w:before="120"/>
              <w:rPr>
                <w:rFonts w:ascii="Calibri" w:hAnsi="Calibri"/>
                <w:sz w:val="22"/>
                <w:szCs w:val="22"/>
              </w:rPr>
            </w:pPr>
            <w:r>
              <w:rPr>
                <w:rFonts w:ascii="Calibri" w:hAnsi="Calibri" w:cs="Arial"/>
                <w:sz w:val="22"/>
                <w:szCs w:val="22"/>
              </w:rPr>
              <w:t>Th</w:t>
            </w:r>
            <w:r w:rsidR="00B72F94" w:rsidRPr="00D12573">
              <w:rPr>
                <w:rFonts w:ascii="Calibri" w:hAnsi="Calibri" w:cs="Arial"/>
                <w:sz w:val="22"/>
                <w:szCs w:val="22"/>
              </w:rPr>
              <w:t xml:space="preserve">ere is </w:t>
            </w:r>
            <w:r w:rsidR="003E1118" w:rsidRPr="00D12573">
              <w:rPr>
                <w:rFonts w:ascii="Calibri" w:hAnsi="Calibri" w:cs="Arial"/>
                <w:sz w:val="22"/>
                <w:szCs w:val="22"/>
              </w:rPr>
              <w:t>likelihood</w:t>
            </w:r>
            <w:r w:rsidR="00B72F94" w:rsidRPr="00D12573">
              <w:rPr>
                <w:rFonts w:ascii="Calibri" w:hAnsi="Calibri" w:cs="Arial"/>
                <w:sz w:val="22"/>
                <w:szCs w:val="22"/>
              </w:rPr>
              <w:t xml:space="preserve"> that the current levels of </w:t>
            </w:r>
            <w:r w:rsidR="0093250D">
              <w:rPr>
                <w:rFonts w:ascii="Calibri" w:hAnsi="Calibri" w:cs="Arial"/>
                <w:sz w:val="22"/>
                <w:szCs w:val="22"/>
              </w:rPr>
              <w:t xml:space="preserve">referrals to </w:t>
            </w:r>
            <w:r w:rsidR="0093250D">
              <w:rPr>
                <w:rFonts w:ascii="Calibri" w:hAnsi="Calibri" w:cs="Arial"/>
                <w:sz w:val="22"/>
                <w:szCs w:val="22"/>
              </w:rPr>
              <w:lastRenderedPageBreak/>
              <w:t>hospital orthopaedic depar</w:t>
            </w:r>
            <w:r w:rsidR="003E1118">
              <w:rPr>
                <w:rFonts w:ascii="Calibri" w:hAnsi="Calibri" w:cs="Arial"/>
                <w:sz w:val="22"/>
                <w:szCs w:val="22"/>
              </w:rPr>
              <w:t xml:space="preserve">tments would continue and rise </w:t>
            </w:r>
            <w:r w:rsidR="0093250D">
              <w:rPr>
                <w:rFonts w:ascii="Calibri" w:hAnsi="Calibri" w:cs="Arial"/>
                <w:sz w:val="22"/>
                <w:szCs w:val="22"/>
              </w:rPr>
              <w:t>with associated ineffective use of resources, longer patient pathways, duplication of assessment and interven</w:t>
            </w:r>
            <w:r w:rsidR="003E1118">
              <w:rPr>
                <w:rFonts w:ascii="Calibri" w:hAnsi="Calibri" w:cs="Arial"/>
                <w:sz w:val="22"/>
                <w:szCs w:val="22"/>
              </w:rPr>
              <w:t>tion and increased patient dissatisfaction</w:t>
            </w:r>
            <w:r w:rsidR="0093250D">
              <w:rPr>
                <w:rFonts w:ascii="Calibri" w:hAnsi="Calibri" w:cs="Arial"/>
                <w:sz w:val="22"/>
                <w:szCs w:val="22"/>
              </w:rPr>
              <w:t>.</w:t>
            </w:r>
          </w:p>
          <w:p w:rsidR="00B72F94" w:rsidRPr="00D12573" w:rsidRDefault="00B72F94" w:rsidP="00830CB7">
            <w:pPr>
              <w:spacing w:before="120"/>
              <w:rPr>
                <w:rFonts w:ascii="Calibri" w:hAnsi="Calibri" w:cs="Arial"/>
                <w:b/>
                <w:sz w:val="22"/>
                <w:szCs w:val="22"/>
              </w:rPr>
            </w:pPr>
          </w:p>
        </w:tc>
        <w:tc>
          <w:tcPr>
            <w:tcW w:w="3960" w:type="dxa"/>
          </w:tcPr>
          <w:p w:rsidR="004F3CE6" w:rsidRDefault="004F3CE6" w:rsidP="004F3CE6">
            <w:pPr>
              <w:ind w:left="360"/>
              <w:rPr>
                <w:rFonts w:ascii="Calibri" w:hAnsi="Calibri"/>
                <w:sz w:val="22"/>
                <w:szCs w:val="22"/>
              </w:rPr>
            </w:pPr>
          </w:p>
          <w:p w:rsidR="00B72F94" w:rsidRDefault="00B72F94" w:rsidP="00E075BC">
            <w:pPr>
              <w:numPr>
                <w:ilvl w:val="0"/>
                <w:numId w:val="13"/>
              </w:numPr>
              <w:rPr>
                <w:rFonts w:ascii="Calibri" w:hAnsi="Calibri"/>
                <w:sz w:val="22"/>
                <w:szCs w:val="22"/>
              </w:rPr>
            </w:pPr>
            <w:r w:rsidRPr="00D12573">
              <w:rPr>
                <w:rFonts w:ascii="Calibri" w:hAnsi="Calibri"/>
                <w:sz w:val="22"/>
                <w:szCs w:val="22"/>
              </w:rPr>
              <w:t xml:space="preserve">Inability of </w:t>
            </w:r>
            <w:r w:rsidR="00E075BC">
              <w:rPr>
                <w:rFonts w:ascii="Calibri" w:hAnsi="Calibri"/>
                <w:sz w:val="22"/>
                <w:szCs w:val="22"/>
              </w:rPr>
              <w:t xml:space="preserve">shift resource </w:t>
            </w:r>
            <w:r w:rsidR="00E075BC">
              <w:rPr>
                <w:rFonts w:ascii="Calibri" w:hAnsi="Calibri"/>
                <w:sz w:val="22"/>
                <w:szCs w:val="22"/>
              </w:rPr>
              <w:lastRenderedPageBreak/>
              <w:t>from orthopaedic to physiotherapy setting</w:t>
            </w:r>
          </w:p>
          <w:p w:rsidR="00E075BC" w:rsidRPr="00D12573" w:rsidRDefault="00E075BC" w:rsidP="00E075BC">
            <w:pPr>
              <w:numPr>
                <w:ilvl w:val="0"/>
                <w:numId w:val="13"/>
              </w:numPr>
              <w:rPr>
                <w:rFonts w:ascii="Calibri" w:hAnsi="Calibri"/>
                <w:sz w:val="22"/>
                <w:szCs w:val="22"/>
              </w:rPr>
            </w:pPr>
            <w:r>
              <w:rPr>
                <w:rFonts w:ascii="Calibri" w:hAnsi="Calibri"/>
                <w:sz w:val="22"/>
                <w:szCs w:val="22"/>
              </w:rPr>
              <w:t xml:space="preserve">Set up  time (communication, training) required for physiotherapists and other stakeholders to agree and finalise pathway </w:t>
            </w:r>
          </w:p>
          <w:p w:rsidR="00B72F94" w:rsidRPr="00D12573" w:rsidRDefault="00B72F94" w:rsidP="00830CB7">
            <w:pPr>
              <w:rPr>
                <w:rFonts w:ascii="Calibri" w:hAnsi="Calibri"/>
                <w:sz w:val="22"/>
                <w:szCs w:val="22"/>
              </w:rPr>
            </w:pPr>
            <w:r w:rsidRPr="00D12573">
              <w:rPr>
                <w:rFonts w:ascii="Calibri" w:hAnsi="Calibri"/>
                <w:sz w:val="22"/>
                <w:szCs w:val="22"/>
              </w:rPr>
              <w:t>The above could be minimised by (1) selecting a provider who offers sufficient</w:t>
            </w:r>
            <w:r w:rsidR="004F3CE6">
              <w:rPr>
                <w:rFonts w:ascii="Calibri" w:hAnsi="Calibri"/>
                <w:sz w:val="22"/>
                <w:szCs w:val="22"/>
              </w:rPr>
              <w:t xml:space="preserve"> capacity and</w:t>
            </w:r>
            <w:r w:rsidRPr="00D12573">
              <w:rPr>
                <w:rFonts w:ascii="Calibri" w:hAnsi="Calibri"/>
                <w:sz w:val="22"/>
                <w:szCs w:val="22"/>
              </w:rPr>
              <w:t xml:space="preserve"> resilience (2) specifying </w:t>
            </w:r>
            <w:r w:rsidR="00E075BC">
              <w:rPr>
                <w:rFonts w:ascii="Calibri" w:hAnsi="Calibri"/>
                <w:sz w:val="22"/>
                <w:szCs w:val="22"/>
              </w:rPr>
              <w:t>pathway process</w:t>
            </w:r>
            <w:r w:rsidR="004F3CE6">
              <w:rPr>
                <w:rFonts w:ascii="Calibri" w:hAnsi="Calibri"/>
                <w:sz w:val="22"/>
                <w:szCs w:val="22"/>
              </w:rPr>
              <w:t>es</w:t>
            </w:r>
            <w:r w:rsidRPr="00D12573">
              <w:rPr>
                <w:rFonts w:ascii="Calibri" w:hAnsi="Calibri"/>
                <w:sz w:val="22"/>
                <w:szCs w:val="22"/>
              </w:rPr>
              <w:t>.</w:t>
            </w:r>
          </w:p>
          <w:p w:rsidR="00B72F94" w:rsidRPr="00D12573" w:rsidRDefault="00B72F94" w:rsidP="00830CB7">
            <w:pPr>
              <w:rPr>
                <w:rFonts w:ascii="Calibri" w:hAnsi="Calibri" w:cs="Arial"/>
                <w:b/>
                <w:sz w:val="22"/>
                <w:szCs w:val="22"/>
              </w:rPr>
            </w:pPr>
          </w:p>
        </w:tc>
      </w:tr>
      <w:tr w:rsidR="00E075BC" w:rsidRPr="00D12573">
        <w:tc>
          <w:tcPr>
            <w:tcW w:w="2563" w:type="dxa"/>
            <w:shd w:val="clear" w:color="auto" w:fill="FFFFFF"/>
          </w:tcPr>
          <w:p w:rsidR="00B72F94" w:rsidRPr="0090531E" w:rsidRDefault="00B72F94" w:rsidP="00830CB7">
            <w:pPr>
              <w:rPr>
                <w:rFonts w:ascii="Calibri" w:hAnsi="Calibri" w:cs="Arial"/>
                <w:b/>
                <w:sz w:val="22"/>
                <w:szCs w:val="22"/>
              </w:rPr>
            </w:pPr>
            <w:r w:rsidRPr="0090531E">
              <w:rPr>
                <w:rFonts w:ascii="Calibri" w:hAnsi="Calibri" w:cs="Arial"/>
                <w:b/>
                <w:sz w:val="22"/>
                <w:szCs w:val="22"/>
              </w:rPr>
              <w:lastRenderedPageBreak/>
              <w:t>RISKS - OPPORTUNITIES</w:t>
            </w:r>
          </w:p>
        </w:tc>
        <w:tc>
          <w:tcPr>
            <w:tcW w:w="3665" w:type="dxa"/>
          </w:tcPr>
          <w:p w:rsidR="00B72F94" w:rsidRPr="00D12573" w:rsidRDefault="00B72F94" w:rsidP="00830CB7">
            <w:pPr>
              <w:spacing w:before="120"/>
              <w:rPr>
                <w:rFonts w:ascii="Calibri" w:hAnsi="Calibri"/>
                <w:sz w:val="22"/>
                <w:szCs w:val="22"/>
              </w:rPr>
            </w:pPr>
            <w:r w:rsidRPr="00D12573">
              <w:rPr>
                <w:rFonts w:ascii="Calibri" w:hAnsi="Calibri" w:cs="Arial"/>
                <w:sz w:val="22"/>
                <w:szCs w:val="22"/>
              </w:rPr>
              <w:t>The above risks could be mit</w:t>
            </w:r>
            <w:r w:rsidR="0093250D">
              <w:rPr>
                <w:rFonts w:ascii="Calibri" w:hAnsi="Calibri" w:cs="Arial"/>
                <w:sz w:val="22"/>
                <w:szCs w:val="22"/>
              </w:rPr>
              <w:t>igated by considering Option 2</w:t>
            </w:r>
            <w:r w:rsidRPr="00D12573">
              <w:rPr>
                <w:rFonts w:ascii="Calibri" w:hAnsi="Calibri" w:cs="Arial"/>
                <w:sz w:val="22"/>
                <w:szCs w:val="22"/>
              </w:rPr>
              <w:t>.</w:t>
            </w:r>
          </w:p>
          <w:p w:rsidR="00B72F94" w:rsidRPr="00D12573" w:rsidRDefault="00B72F94" w:rsidP="00830CB7">
            <w:pPr>
              <w:spacing w:before="120"/>
              <w:rPr>
                <w:rFonts w:ascii="Calibri" w:hAnsi="Calibri" w:cs="Arial"/>
                <w:sz w:val="22"/>
                <w:szCs w:val="22"/>
              </w:rPr>
            </w:pPr>
          </w:p>
        </w:tc>
        <w:tc>
          <w:tcPr>
            <w:tcW w:w="3960" w:type="dxa"/>
          </w:tcPr>
          <w:p w:rsidR="00B72F94" w:rsidRDefault="00E075BC" w:rsidP="004F3CE6">
            <w:pPr>
              <w:numPr>
                <w:ilvl w:val="0"/>
                <w:numId w:val="17"/>
              </w:numPr>
              <w:spacing w:after="60"/>
              <w:rPr>
                <w:rFonts w:ascii="Calibri" w:hAnsi="Calibri" w:cs="Arial"/>
                <w:sz w:val="22"/>
                <w:szCs w:val="22"/>
              </w:rPr>
            </w:pPr>
            <w:r>
              <w:rPr>
                <w:rFonts w:ascii="Calibri" w:hAnsi="Calibri" w:cs="Arial"/>
                <w:sz w:val="22"/>
                <w:szCs w:val="22"/>
              </w:rPr>
              <w:t>Increased hospital orthopaedic capacity for other conditions</w:t>
            </w:r>
          </w:p>
          <w:p w:rsidR="00E075BC" w:rsidRDefault="00E075BC" w:rsidP="00E075BC">
            <w:pPr>
              <w:numPr>
                <w:ilvl w:val="0"/>
                <w:numId w:val="14"/>
              </w:numPr>
              <w:spacing w:after="60"/>
              <w:rPr>
                <w:rFonts w:ascii="Calibri" w:hAnsi="Calibri" w:cs="Arial"/>
                <w:sz w:val="22"/>
                <w:szCs w:val="22"/>
              </w:rPr>
            </w:pPr>
            <w:r>
              <w:rPr>
                <w:rFonts w:ascii="Calibri" w:hAnsi="Calibri" w:cs="Arial"/>
                <w:sz w:val="22"/>
                <w:szCs w:val="22"/>
              </w:rPr>
              <w:t>Reduced cost spinal (low back pain pathway</w:t>
            </w:r>
          </w:p>
          <w:p w:rsidR="00E075BC" w:rsidRDefault="00E075BC" w:rsidP="00E075BC">
            <w:pPr>
              <w:numPr>
                <w:ilvl w:val="0"/>
                <w:numId w:val="14"/>
              </w:numPr>
              <w:spacing w:after="60"/>
              <w:rPr>
                <w:rFonts w:ascii="Calibri" w:hAnsi="Calibri" w:cs="Arial"/>
                <w:sz w:val="22"/>
                <w:szCs w:val="22"/>
              </w:rPr>
            </w:pPr>
            <w:r>
              <w:rPr>
                <w:rFonts w:ascii="Calibri" w:hAnsi="Calibri" w:cs="Arial"/>
                <w:sz w:val="22"/>
                <w:szCs w:val="22"/>
              </w:rPr>
              <w:t>Efficient evidenced based patient centred pathway</w:t>
            </w:r>
          </w:p>
          <w:p w:rsidR="00E075BC" w:rsidRDefault="00E075BC" w:rsidP="00E075BC">
            <w:pPr>
              <w:numPr>
                <w:ilvl w:val="0"/>
                <w:numId w:val="14"/>
              </w:numPr>
              <w:spacing w:after="60"/>
              <w:rPr>
                <w:rFonts w:ascii="Calibri" w:hAnsi="Calibri" w:cs="Arial"/>
                <w:sz w:val="22"/>
                <w:szCs w:val="22"/>
              </w:rPr>
            </w:pPr>
            <w:r>
              <w:rPr>
                <w:rFonts w:ascii="Calibri" w:hAnsi="Calibri" w:cs="Arial"/>
                <w:sz w:val="22"/>
                <w:szCs w:val="22"/>
              </w:rPr>
              <w:t xml:space="preserve">Increased patient satisfaction </w:t>
            </w:r>
          </w:p>
          <w:p w:rsidR="00E075BC" w:rsidRPr="00D12573" w:rsidRDefault="00E075BC" w:rsidP="00E075BC">
            <w:pPr>
              <w:numPr>
                <w:ilvl w:val="0"/>
                <w:numId w:val="14"/>
              </w:numPr>
              <w:spacing w:after="60"/>
              <w:rPr>
                <w:rFonts w:ascii="Calibri" w:hAnsi="Calibri" w:cs="Arial"/>
                <w:sz w:val="22"/>
                <w:szCs w:val="22"/>
              </w:rPr>
            </w:pPr>
            <w:r>
              <w:rPr>
                <w:rFonts w:ascii="Calibri" w:hAnsi="Calibri" w:cs="Arial"/>
                <w:sz w:val="22"/>
                <w:szCs w:val="22"/>
              </w:rPr>
              <w:t>Shorter wait for specialist assessment and management</w:t>
            </w:r>
          </w:p>
          <w:p w:rsidR="00B72F94" w:rsidRPr="00D12573" w:rsidRDefault="00B72F94" w:rsidP="00E075BC">
            <w:pPr>
              <w:rPr>
                <w:rFonts w:ascii="Calibri" w:hAnsi="Calibri"/>
                <w:sz w:val="22"/>
                <w:szCs w:val="22"/>
              </w:rPr>
            </w:pPr>
          </w:p>
        </w:tc>
      </w:tr>
      <w:tr w:rsidR="00E075BC" w:rsidRPr="00D12573">
        <w:tc>
          <w:tcPr>
            <w:tcW w:w="2563" w:type="dxa"/>
            <w:shd w:val="clear" w:color="auto" w:fill="FFFFFF"/>
          </w:tcPr>
          <w:p w:rsidR="00B72F94" w:rsidRPr="0090531E" w:rsidRDefault="00B72F94" w:rsidP="00830CB7">
            <w:pPr>
              <w:rPr>
                <w:rFonts w:ascii="Calibri" w:hAnsi="Calibri" w:cs="Arial"/>
                <w:b/>
                <w:sz w:val="22"/>
                <w:szCs w:val="22"/>
              </w:rPr>
            </w:pPr>
            <w:r w:rsidRPr="0090531E">
              <w:rPr>
                <w:rFonts w:ascii="Calibri" w:hAnsi="Calibri" w:cs="Arial"/>
                <w:b/>
                <w:sz w:val="22"/>
                <w:szCs w:val="22"/>
              </w:rPr>
              <w:t xml:space="preserve">COMMENTS </w:t>
            </w:r>
          </w:p>
          <w:p w:rsidR="00B72F94" w:rsidRPr="0090531E" w:rsidRDefault="00B72F94" w:rsidP="00830CB7">
            <w:pPr>
              <w:shd w:val="clear" w:color="auto" w:fill="FFFFFF"/>
              <w:rPr>
                <w:rFonts w:ascii="Calibri" w:hAnsi="Calibri" w:cs="Arial"/>
                <w:b/>
                <w:sz w:val="22"/>
                <w:szCs w:val="22"/>
              </w:rPr>
            </w:pPr>
          </w:p>
          <w:p w:rsidR="00B72F94" w:rsidRPr="00D12573" w:rsidRDefault="00B72F94" w:rsidP="00830CB7">
            <w:pPr>
              <w:rPr>
                <w:rFonts w:ascii="Calibri" w:hAnsi="Calibri" w:cs="Arial"/>
                <w:b/>
                <w:sz w:val="22"/>
                <w:szCs w:val="22"/>
              </w:rPr>
            </w:pPr>
          </w:p>
        </w:tc>
        <w:tc>
          <w:tcPr>
            <w:tcW w:w="3665" w:type="dxa"/>
          </w:tcPr>
          <w:p w:rsidR="00B72F94" w:rsidRPr="00D12573" w:rsidRDefault="00B72F94" w:rsidP="00830CB7">
            <w:pPr>
              <w:spacing w:before="120"/>
              <w:rPr>
                <w:rFonts w:ascii="Calibri" w:hAnsi="Calibri"/>
                <w:sz w:val="22"/>
                <w:szCs w:val="22"/>
              </w:rPr>
            </w:pPr>
            <w:r w:rsidRPr="00D12573">
              <w:rPr>
                <w:rFonts w:ascii="Calibri" w:hAnsi="Calibri" w:cs="Arial"/>
                <w:sz w:val="22"/>
                <w:szCs w:val="22"/>
              </w:rPr>
              <w:t xml:space="preserve">The ‘do </w:t>
            </w:r>
            <w:r w:rsidR="00055B75">
              <w:rPr>
                <w:rFonts w:ascii="Calibri" w:hAnsi="Calibri" w:cs="Arial"/>
                <w:sz w:val="22"/>
                <w:szCs w:val="22"/>
              </w:rPr>
              <w:t>minimum/</w:t>
            </w:r>
            <w:r w:rsidRPr="00D12573">
              <w:rPr>
                <w:rFonts w:ascii="Calibri" w:hAnsi="Calibri" w:cs="Arial"/>
                <w:sz w:val="22"/>
                <w:szCs w:val="22"/>
              </w:rPr>
              <w:t>nothing’ option is a baseline comparator not an option worth maintaining.</w:t>
            </w:r>
          </w:p>
          <w:p w:rsidR="00B72F94" w:rsidRPr="00D12573" w:rsidRDefault="00B72F94" w:rsidP="00830CB7">
            <w:pPr>
              <w:rPr>
                <w:rFonts w:ascii="Calibri" w:hAnsi="Calibri" w:cs="Arial"/>
                <w:b/>
                <w:sz w:val="22"/>
                <w:szCs w:val="22"/>
              </w:rPr>
            </w:pPr>
          </w:p>
        </w:tc>
        <w:tc>
          <w:tcPr>
            <w:tcW w:w="3960" w:type="dxa"/>
          </w:tcPr>
          <w:p w:rsidR="00B72F94" w:rsidRPr="00D12573" w:rsidRDefault="00B72F94" w:rsidP="00830CB7">
            <w:pPr>
              <w:spacing w:after="60"/>
              <w:rPr>
                <w:rFonts w:ascii="Calibri" w:hAnsi="Calibri" w:cs="Arial"/>
                <w:sz w:val="22"/>
                <w:szCs w:val="22"/>
              </w:rPr>
            </w:pPr>
            <w:r w:rsidRPr="00D12573">
              <w:rPr>
                <w:rFonts w:ascii="Calibri" w:hAnsi="Calibri" w:cs="Arial"/>
                <w:sz w:val="22"/>
                <w:szCs w:val="22"/>
              </w:rPr>
              <w:t xml:space="preserve">This option provides </w:t>
            </w:r>
            <w:r w:rsidR="00E075BC">
              <w:rPr>
                <w:rFonts w:ascii="Calibri" w:hAnsi="Calibri" w:cs="Arial"/>
                <w:sz w:val="22"/>
                <w:szCs w:val="22"/>
              </w:rPr>
              <w:t>a specialist</w:t>
            </w:r>
            <w:r w:rsidRPr="00D12573">
              <w:rPr>
                <w:rFonts w:ascii="Calibri" w:hAnsi="Calibri" w:cs="Arial"/>
                <w:sz w:val="22"/>
                <w:szCs w:val="22"/>
              </w:rPr>
              <w:t xml:space="preserve"> physiotherapy </w:t>
            </w:r>
            <w:r w:rsidR="00E075BC">
              <w:rPr>
                <w:rFonts w:ascii="Calibri" w:hAnsi="Calibri" w:cs="Arial"/>
                <w:sz w:val="22"/>
                <w:szCs w:val="22"/>
              </w:rPr>
              <w:t>model</w:t>
            </w:r>
            <w:r w:rsidRPr="00D12573">
              <w:rPr>
                <w:rFonts w:ascii="Calibri" w:hAnsi="Calibri" w:cs="Arial"/>
                <w:sz w:val="22"/>
                <w:szCs w:val="22"/>
              </w:rPr>
              <w:t xml:space="preserve"> based solution, but does </w:t>
            </w:r>
            <w:r w:rsidR="00E075BC">
              <w:rPr>
                <w:rFonts w:ascii="Calibri" w:hAnsi="Calibri" w:cs="Arial"/>
                <w:sz w:val="22"/>
                <w:szCs w:val="22"/>
              </w:rPr>
              <w:t>require agreement to shift resource from orthopaedic to physiotherapy setting.</w:t>
            </w:r>
          </w:p>
          <w:p w:rsidR="00B72F94" w:rsidRPr="00D12573" w:rsidRDefault="00B72F94" w:rsidP="00830CB7">
            <w:pPr>
              <w:rPr>
                <w:rFonts w:ascii="Calibri" w:hAnsi="Calibri" w:cs="Arial"/>
                <w:b/>
                <w:sz w:val="22"/>
                <w:szCs w:val="22"/>
              </w:rPr>
            </w:pPr>
          </w:p>
        </w:tc>
      </w:tr>
    </w:tbl>
    <w:p w:rsidR="00830CB7" w:rsidRDefault="00830CB7" w:rsidP="00830CB7"/>
    <w:p w:rsidR="00830CB7" w:rsidRDefault="00830CB7" w:rsidP="00830CB7">
      <w:pPr>
        <w:rPr>
          <w:rFonts w:ascii="Arial" w:hAnsi="Arial" w:cs="Arial"/>
          <w:b/>
        </w:rPr>
      </w:pPr>
    </w:p>
    <w:p w:rsidR="00055B75" w:rsidRDefault="00055B75" w:rsidP="00830CB7">
      <w:pPr>
        <w:rPr>
          <w:rFonts w:ascii="Arial" w:hAnsi="Arial" w:cs="Arial"/>
          <w:b/>
        </w:rPr>
        <w:sectPr w:rsidR="00055B75" w:rsidSect="00B72F94">
          <w:pgSz w:w="11906" w:h="16838"/>
          <w:pgMar w:top="1440" w:right="1797" w:bottom="1440" w:left="1797" w:header="709" w:footer="709" w:gutter="0"/>
          <w:cols w:space="708"/>
          <w:docGrid w:linePitch="360"/>
        </w:sectPr>
      </w:pPr>
    </w:p>
    <w:tbl>
      <w:tblPr>
        <w:tblpPr w:leftFromText="180" w:rightFromText="180" w:horzAnchor="margin" w:tblpY="684"/>
        <w:tblW w:w="0" w:type="auto"/>
        <w:tblBorders>
          <w:top w:val="single" w:sz="4" w:space="0" w:color="0070C0"/>
          <w:left w:val="single" w:sz="4" w:space="0" w:color="0070C0"/>
          <w:bottom w:val="single" w:sz="4" w:space="0" w:color="0070C0"/>
          <w:right w:val="single" w:sz="4" w:space="0" w:color="0070C0"/>
        </w:tblBorders>
        <w:tblLook w:val="04A0"/>
      </w:tblPr>
      <w:tblGrid>
        <w:gridCol w:w="1242"/>
        <w:gridCol w:w="3686"/>
        <w:gridCol w:w="3600"/>
      </w:tblGrid>
      <w:tr w:rsidR="00830CB7" w:rsidRPr="00FE6F55">
        <w:tc>
          <w:tcPr>
            <w:tcW w:w="1242" w:type="dxa"/>
            <w:shd w:val="clear" w:color="auto" w:fill="0070C0"/>
          </w:tcPr>
          <w:p w:rsidR="00830CB7" w:rsidRPr="0090531E" w:rsidRDefault="00830CB7" w:rsidP="00830CB7">
            <w:pPr>
              <w:rPr>
                <w:rFonts w:ascii="Calibri" w:hAnsi="Calibri" w:cs="Arial"/>
                <w:b/>
                <w:color w:val="FFFFFF"/>
                <w:szCs w:val="22"/>
              </w:rPr>
            </w:pPr>
          </w:p>
        </w:tc>
        <w:tc>
          <w:tcPr>
            <w:tcW w:w="3686" w:type="dxa"/>
            <w:shd w:val="clear" w:color="auto" w:fill="0070C0"/>
          </w:tcPr>
          <w:p w:rsidR="00830CB7" w:rsidRPr="0090531E" w:rsidRDefault="00830CB7" w:rsidP="00830CB7">
            <w:pPr>
              <w:rPr>
                <w:rFonts w:ascii="Calibri" w:hAnsi="Calibri"/>
                <w:b/>
                <w:color w:val="FFFFFF"/>
                <w:szCs w:val="22"/>
              </w:rPr>
            </w:pPr>
            <w:r w:rsidRPr="0090531E">
              <w:rPr>
                <w:rFonts w:ascii="Calibri" w:hAnsi="Calibri"/>
                <w:b/>
                <w:color w:val="FFFFFF"/>
                <w:szCs w:val="22"/>
              </w:rPr>
              <w:t>RISK</w:t>
            </w:r>
          </w:p>
        </w:tc>
        <w:tc>
          <w:tcPr>
            <w:tcW w:w="3600" w:type="dxa"/>
            <w:shd w:val="clear" w:color="auto" w:fill="0070C0"/>
          </w:tcPr>
          <w:p w:rsidR="00830CB7" w:rsidRPr="0090531E" w:rsidRDefault="00830CB7" w:rsidP="00830CB7">
            <w:pPr>
              <w:rPr>
                <w:rFonts w:ascii="Calibri" w:hAnsi="Calibri"/>
                <w:b/>
                <w:color w:val="FFFFFF"/>
                <w:szCs w:val="22"/>
              </w:rPr>
            </w:pPr>
            <w:r w:rsidRPr="0090531E">
              <w:rPr>
                <w:rFonts w:ascii="Calibri" w:hAnsi="Calibri"/>
                <w:b/>
                <w:color w:val="FFFFFF"/>
                <w:szCs w:val="22"/>
              </w:rPr>
              <w:t>CONTROL</w:t>
            </w:r>
          </w:p>
        </w:tc>
      </w:tr>
      <w:tr w:rsidR="00830CB7" w:rsidRPr="00FE6F55">
        <w:tc>
          <w:tcPr>
            <w:tcW w:w="1242" w:type="dxa"/>
          </w:tcPr>
          <w:p w:rsidR="00830CB7" w:rsidRPr="00FE6F55" w:rsidRDefault="00830CB7" w:rsidP="00830CB7">
            <w:pPr>
              <w:rPr>
                <w:rFonts w:ascii="Calibri" w:hAnsi="Calibri" w:cs="Arial"/>
                <w:b/>
                <w:sz w:val="22"/>
                <w:szCs w:val="22"/>
              </w:rPr>
            </w:pPr>
            <w:r w:rsidRPr="00FE6F55">
              <w:rPr>
                <w:rFonts w:ascii="Calibri" w:hAnsi="Calibri" w:cs="Arial"/>
                <w:b/>
                <w:sz w:val="22"/>
                <w:szCs w:val="22"/>
              </w:rPr>
              <w:t>Risk 1</w:t>
            </w:r>
          </w:p>
        </w:tc>
        <w:tc>
          <w:tcPr>
            <w:tcW w:w="3686" w:type="dxa"/>
          </w:tcPr>
          <w:p w:rsidR="00830CB7" w:rsidRPr="00FE6F55" w:rsidRDefault="00CC0F17" w:rsidP="00830CB7">
            <w:pPr>
              <w:rPr>
                <w:rFonts w:ascii="Calibri" w:hAnsi="Calibri" w:cs="Arial"/>
                <w:b/>
                <w:sz w:val="22"/>
                <w:szCs w:val="22"/>
              </w:rPr>
            </w:pPr>
            <w:r>
              <w:rPr>
                <w:rFonts w:ascii="Calibri" w:hAnsi="Calibri"/>
                <w:sz w:val="22"/>
                <w:szCs w:val="22"/>
              </w:rPr>
              <w:t>Slow or inadequate agreement to shift resource to support shift in transfer of care</w:t>
            </w:r>
          </w:p>
        </w:tc>
        <w:tc>
          <w:tcPr>
            <w:tcW w:w="3600" w:type="dxa"/>
          </w:tcPr>
          <w:p w:rsidR="00CC0F17" w:rsidRDefault="00CC0F17" w:rsidP="00CC0F17">
            <w:pPr>
              <w:numPr>
                <w:ilvl w:val="0"/>
                <w:numId w:val="16"/>
              </w:numPr>
              <w:rPr>
                <w:rFonts w:ascii="Calibri" w:hAnsi="Calibri"/>
                <w:sz w:val="22"/>
                <w:szCs w:val="22"/>
              </w:rPr>
            </w:pPr>
            <w:r>
              <w:rPr>
                <w:rFonts w:ascii="Calibri" w:hAnsi="Calibri"/>
                <w:sz w:val="22"/>
                <w:szCs w:val="22"/>
              </w:rPr>
              <w:t>Strategic and line management  support to progress</w:t>
            </w:r>
          </w:p>
          <w:p w:rsidR="00CC0F17" w:rsidRDefault="00CC0F17" w:rsidP="00CC0F17">
            <w:pPr>
              <w:numPr>
                <w:ilvl w:val="0"/>
                <w:numId w:val="16"/>
              </w:numPr>
              <w:rPr>
                <w:rFonts w:ascii="Calibri" w:hAnsi="Calibri"/>
                <w:sz w:val="22"/>
                <w:szCs w:val="22"/>
              </w:rPr>
            </w:pPr>
            <w:r>
              <w:rPr>
                <w:rFonts w:ascii="Calibri" w:hAnsi="Calibri"/>
                <w:sz w:val="22"/>
                <w:szCs w:val="22"/>
              </w:rPr>
              <w:t xml:space="preserve">Use of evidence base and </w:t>
            </w:r>
            <w:r w:rsidR="004F3CE6">
              <w:rPr>
                <w:rFonts w:ascii="Calibri" w:hAnsi="Calibri"/>
                <w:sz w:val="22"/>
                <w:szCs w:val="22"/>
              </w:rPr>
              <w:t xml:space="preserve">information from </w:t>
            </w:r>
            <w:r>
              <w:rPr>
                <w:rFonts w:ascii="Calibri" w:hAnsi="Calibri"/>
                <w:sz w:val="22"/>
                <w:szCs w:val="22"/>
              </w:rPr>
              <w:t>services who have implemented this approach</w:t>
            </w:r>
          </w:p>
          <w:p w:rsidR="00CC0F17" w:rsidRPr="00FE6F55" w:rsidRDefault="00CC0F17" w:rsidP="00CC0F17">
            <w:pPr>
              <w:numPr>
                <w:ilvl w:val="0"/>
                <w:numId w:val="16"/>
              </w:numPr>
              <w:rPr>
                <w:rFonts w:ascii="Calibri" w:hAnsi="Calibri"/>
                <w:sz w:val="22"/>
                <w:szCs w:val="22"/>
              </w:rPr>
            </w:pPr>
            <w:r>
              <w:rPr>
                <w:rFonts w:ascii="Calibri" w:hAnsi="Calibri"/>
                <w:sz w:val="22"/>
                <w:szCs w:val="22"/>
              </w:rPr>
              <w:t>Patient voice</w:t>
            </w:r>
          </w:p>
          <w:p w:rsidR="00830CB7" w:rsidRPr="00FE6F55" w:rsidRDefault="00830CB7" w:rsidP="00830CB7">
            <w:pPr>
              <w:jc w:val="center"/>
              <w:rPr>
                <w:rFonts w:ascii="Calibri" w:hAnsi="Calibri" w:cs="Arial"/>
                <w:sz w:val="22"/>
                <w:szCs w:val="22"/>
              </w:rPr>
            </w:pPr>
          </w:p>
        </w:tc>
      </w:tr>
      <w:tr w:rsidR="00830CB7" w:rsidRPr="00FE6F55">
        <w:tc>
          <w:tcPr>
            <w:tcW w:w="1242" w:type="dxa"/>
          </w:tcPr>
          <w:p w:rsidR="00830CB7" w:rsidRPr="00FE6F55" w:rsidRDefault="00830CB7" w:rsidP="00830CB7">
            <w:pPr>
              <w:rPr>
                <w:rFonts w:ascii="Calibri" w:hAnsi="Calibri" w:cs="Arial"/>
                <w:b/>
                <w:sz w:val="22"/>
                <w:szCs w:val="22"/>
              </w:rPr>
            </w:pPr>
            <w:r w:rsidRPr="00FE6F55">
              <w:rPr>
                <w:rFonts w:ascii="Calibri" w:hAnsi="Calibri" w:cs="Arial"/>
                <w:b/>
                <w:sz w:val="22"/>
                <w:szCs w:val="22"/>
              </w:rPr>
              <w:t>Risk 2</w:t>
            </w:r>
          </w:p>
        </w:tc>
        <w:tc>
          <w:tcPr>
            <w:tcW w:w="3686" w:type="dxa"/>
          </w:tcPr>
          <w:p w:rsidR="00830CB7" w:rsidRPr="00FE6F55" w:rsidRDefault="00830CB7" w:rsidP="00830CB7">
            <w:pPr>
              <w:rPr>
                <w:rFonts w:ascii="Calibri" w:hAnsi="Calibri"/>
                <w:sz w:val="22"/>
                <w:szCs w:val="22"/>
              </w:rPr>
            </w:pPr>
            <w:r w:rsidRPr="00FE6F55">
              <w:rPr>
                <w:rFonts w:ascii="Calibri" w:hAnsi="Calibri"/>
                <w:sz w:val="22"/>
                <w:szCs w:val="22"/>
              </w:rPr>
              <w:t>Poor data quality / collection</w:t>
            </w:r>
          </w:p>
          <w:p w:rsidR="00830CB7" w:rsidRPr="00FE6F55" w:rsidRDefault="00830CB7" w:rsidP="00830CB7">
            <w:pPr>
              <w:rPr>
                <w:rFonts w:ascii="Calibri" w:hAnsi="Calibri"/>
                <w:sz w:val="22"/>
                <w:szCs w:val="22"/>
              </w:rPr>
            </w:pPr>
          </w:p>
          <w:p w:rsidR="00830CB7" w:rsidRPr="00FE6F55" w:rsidRDefault="00830CB7" w:rsidP="00830CB7">
            <w:pPr>
              <w:rPr>
                <w:rFonts w:ascii="Calibri" w:hAnsi="Calibri" w:cs="Arial"/>
                <w:b/>
                <w:sz w:val="22"/>
                <w:szCs w:val="22"/>
              </w:rPr>
            </w:pPr>
          </w:p>
        </w:tc>
        <w:tc>
          <w:tcPr>
            <w:tcW w:w="3600" w:type="dxa"/>
          </w:tcPr>
          <w:p w:rsidR="00CC0F17" w:rsidRDefault="00CC0F17" w:rsidP="00830CB7">
            <w:pPr>
              <w:rPr>
                <w:rFonts w:ascii="Calibri" w:hAnsi="Calibri"/>
                <w:sz w:val="22"/>
                <w:szCs w:val="22"/>
              </w:rPr>
            </w:pPr>
            <w:r>
              <w:rPr>
                <w:rFonts w:ascii="Calibri" w:hAnsi="Calibri"/>
                <w:sz w:val="22"/>
                <w:szCs w:val="22"/>
              </w:rPr>
              <w:t>Ensuring there is rigorous evaluation</w:t>
            </w:r>
          </w:p>
          <w:p w:rsidR="00830CB7" w:rsidRDefault="00CC0F17" w:rsidP="00CC0F17">
            <w:pPr>
              <w:numPr>
                <w:ilvl w:val="0"/>
                <w:numId w:val="15"/>
              </w:numPr>
              <w:rPr>
                <w:rFonts w:ascii="Calibri" w:hAnsi="Calibri"/>
                <w:sz w:val="22"/>
                <w:szCs w:val="22"/>
              </w:rPr>
            </w:pPr>
            <w:r>
              <w:rPr>
                <w:rFonts w:ascii="Calibri" w:hAnsi="Calibri"/>
                <w:sz w:val="22"/>
                <w:szCs w:val="22"/>
              </w:rPr>
              <w:t>Agreed dataset</w:t>
            </w:r>
          </w:p>
          <w:p w:rsidR="00CC0F17" w:rsidRDefault="00CC0F17" w:rsidP="00CC0F17">
            <w:pPr>
              <w:numPr>
                <w:ilvl w:val="0"/>
                <w:numId w:val="15"/>
              </w:numPr>
              <w:rPr>
                <w:rFonts w:ascii="Calibri" w:hAnsi="Calibri"/>
                <w:sz w:val="22"/>
                <w:szCs w:val="22"/>
              </w:rPr>
            </w:pPr>
            <w:r>
              <w:rPr>
                <w:rFonts w:ascii="Calibri" w:hAnsi="Calibri"/>
                <w:sz w:val="22"/>
                <w:szCs w:val="22"/>
              </w:rPr>
              <w:t xml:space="preserve">Supporting IT </w:t>
            </w:r>
          </w:p>
          <w:p w:rsidR="00CC0F17" w:rsidRPr="00FE6F55" w:rsidRDefault="00CC0F17" w:rsidP="00CC0F17">
            <w:pPr>
              <w:numPr>
                <w:ilvl w:val="0"/>
                <w:numId w:val="15"/>
              </w:numPr>
              <w:rPr>
                <w:rFonts w:ascii="Calibri" w:hAnsi="Calibri"/>
                <w:sz w:val="22"/>
                <w:szCs w:val="22"/>
              </w:rPr>
            </w:pPr>
            <w:r>
              <w:rPr>
                <w:rFonts w:ascii="Calibri" w:hAnsi="Calibri"/>
                <w:sz w:val="22"/>
                <w:szCs w:val="22"/>
              </w:rPr>
              <w:t xml:space="preserve">Monitoring, controlling and reporting framework </w:t>
            </w:r>
          </w:p>
          <w:p w:rsidR="00830CB7" w:rsidRPr="00FE6F55" w:rsidRDefault="00830CB7" w:rsidP="00830CB7">
            <w:pPr>
              <w:rPr>
                <w:rFonts w:ascii="Calibri" w:hAnsi="Calibri" w:cs="Arial"/>
                <w:sz w:val="22"/>
                <w:szCs w:val="22"/>
              </w:rPr>
            </w:pPr>
          </w:p>
        </w:tc>
      </w:tr>
      <w:tr w:rsidR="00830CB7" w:rsidRPr="00FE6F55">
        <w:tc>
          <w:tcPr>
            <w:tcW w:w="1242" w:type="dxa"/>
          </w:tcPr>
          <w:p w:rsidR="00830CB7" w:rsidRPr="00FE6F55" w:rsidRDefault="00830CB7" w:rsidP="00830CB7">
            <w:pPr>
              <w:rPr>
                <w:rFonts w:ascii="Calibri" w:hAnsi="Calibri" w:cs="Arial"/>
                <w:b/>
                <w:sz w:val="22"/>
                <w:szCs w:val="22"/>
              </w:rPr>
            </w:pPr>
            <w:r w:rsidRPr="00FE6F55">
              <w:rPr>
                <w:rFonts w:ascii="Calibri" w:hAnsi="Calibri" w:cs="Arial"/>
                <w:b/>
                <w:sz w:val="22"/>
                <w:szCs w:val="22"/>
              </w:rPr>
              <w:t>Risk 3</w:t>
            </w:r>
          </w:p>
        </w:tc>
        <w:tc>
          <w:tcPr>
            <w:tcW w:w="3686" w:type="dxa"/>
          </w:tcPr>
          <w:p w:rsidR="00830CB7" w:rsidRPr="00FE6F55" w:rsidRDefault="00CC0F17" w:rsidP="00830CB7">
            <w:pPr>
              <w:rPr>
                <w:rFonts w:ascii="Calibri" w:hAnsi="Calibri"/>
                <w:sz w:val="22"/>
                <w:szCs w:val="22"/>
              </w:rPr>
            </w:pPr>
            <w:r>
              <w:rPr>
                <w:rFonts w:ascii="Calibri" w:hAnsi="Calibri"/>
                <w:sz w:val="22"/>
                <w:szCs w:val="22"/>
              </w:rPr>
              <w:t>Poor staff acceptance</w:t>
            </w:r>
          </w:p>
          <w:p w:rsidR="00830CB7" w:rsidRPr="00FE6F55" w:rsidRDefault="00830CB7" w:rsidP="00830CB7">
            <w:pPr>
              <w:rPr>
                <w:rFonts w:ascii="Calibri" w:hAnsi="Calibri" w:cs="Arial"/>
                <w:b/>
                <w:sz w:val="22"/>
                <w:szCs w:val="22"/>
              </w:rPr>
            </w:pPr>
          </w:p>
        </w:tc>
        <w:tc>
          <w:tcPr>
            <w:tcW w:w="3600" w:type="dxa"/>
          </w:tcPr>
          <w:p w:rsidR="00CC0F17" w:rsidRDefault="00CC0F17" w:rsidP="00CC0F17">
            <w:pPr>
              <w:rPr>
                <w:rFonts w:ascii="Calibri" w:hAnsi="Calibri"/>
                <w:sz w:val="22"/>
                <w:szCs w:val="22"/>
              </w:rPr>
            </w:pPr>
            <w:r>
              <w:rPr>
                <w:rFonts w:ascii="Calibri" w:hAnsi="Calibri"/>
                <w:sz w:val="22"/>
                <w:szCs w:val="22"/>
              </w:rPr>
              <w:t>Robust stakeholder engagement, communication and involvement</w:t>
            </w:r>
          </w:p>
          <w:p w:rsidR="00830CB7" w:rsidRPr="00FE6F55" w:rsidRDefault="00830CB7" w:rsidP="00830CB7">
            <w:pPr>
              <w:rPr>
                <w:rFonts w:ascii="Calibri" w:hAnsi="Calibri" w:cs="Arial"/>
                <w:b/>
                <w:sz w:val="22"/>
                <w:szCs w:val="22"/>
              </w:rPr>
            </w:pPr>
          </w:p>
        </w:tc>
      </w:tr>
    </w:tbl>
    <w:p w:rsidR="00830CB7" w:rsidRDefault="00830CB7"/>
    <w:sectPr w:rsidR="00830CB7" w:rsidSect="00B72F94">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DEF" w:rsidRDefault="00133DEF">
      <w:r>
        <w:separator/>
      </w:r>
    </w:p>
  </w:endnote>
  <w:endnote w:type="continuationSeparator" w:id="0">
    <w:p w:rsidR="00133DEF" w:rsidRDefault="00133D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75" w:rsidRDefault="00374913" w:rsidP="00830CB7">
    <w:pPr>
      <w:pStyle w:val="Footer"/>
      <w:framePr w:wrap="around" w:vAnchor="text" w:hAnchor="margin" w:xAlign="right" w:y="1"/>
      <w:rPr>
        <w:rStyle w:val="PageNumber"/>
      </w:rPr>
    </w:pPr>
    <w:r>
      <w:rPr>
        <w:rStyle w:val="PageNumber"/>
      </w:rPr>
      <w:fldChar w:fldCharType="begin"/>
    </w:r>
    <w:r w:rsidR="00055B75">
      <w:rPr>
        <w:rStyle w:val="PageNumber"/>
      </w:rPr>
      <w:instrText xml:space="preserve">PAGE  </w:instrText>
    </w:r>
    <w:r>
      <w:rPr>
        <w:rStyle w:val="PageNumber"/>
      </w:rPr>
      <w:fldChar w:fldCharType="end"/>
    </w:r>
  </w:p>
  <w:p w:rsidR="00055B75" w:rsidRDefault="00055B75" w:rsidP="00830CB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75" w:rsidRPr="00FB5974" w:rsidRDefault="00374913" w:rsidP="00830CB7">
    <w:pPr>
      <w:pStyle w:val="Footer"/>
      <w:framePr w:wrap="around" w:vAnchor="text" w:hAnchor="margin" w:xAlign="right" w:y="1"/>
      <w:rPr>
        <w:rStyle w:val="PageNumber"/>
        <w:rFonts w:ascii="Calibri" w:hAnsi="Calibri"/>
        <w:sz w:val="18"/>
      </w:rPr>
    </w:pPr>
    <w:r w:rsidRPr="00FB5974">
      <w:rPr>
        <w:rStyle w:val="PageNumber"/>
        <w:rFonts w:ascii="Calibri" w:hAnsi="Calibri"/>
        <w:sz w:val="18"/>
      </w:rPr>
      <w:fldChar w:fldCharType="begin"/>
    </w:r>
    <w:r w:rsidR="00055B75" w:rsidRPr="00FB5974">
      <w:rPr>
        <w:rStyle w:val="PageNumber"/>
        <w:rFonts w:ascii="Calibri" w:hAnsi="Calibri"/>
        <w:sz w:val="18"/>
      </w:rPr>
      <w:instrText xml:space="preserve">PAGE  </w:instrText>
    </w:r>
    <w:r w:rsidRPr="00FB5974">
      <w:rPr>
        <w:rStyle w:val="PageNumber"/>
        <w:rFonts w:ascii="Calibri" w:hAnsi="Calibri"/>
        <w:sz w:val="18"/>
      </w:rPr>
      <w:fldChar w:fldCharType="separate"/>
    </w:r>
    <w:r w:rsidR="0056309A">
      <w:rPr>
        <w:rStyle w:val="PageNumber"/>
        <w:rFonts w:ascii="Calibri" w:hAnsi="Calibri"/>
        <w:noProof/>
        <w:sz w:val="18"/>
      </w:rPr>
      <w:t>1</w:t>
    </w:r>
    <w:r w:rsidRPr="00FB5974">
      <w:rPr>
        <w:rStyle w:val="PageNumber"/>
        <w:rFonts w:ascii="Calibri" w:hAnsi="Calibri"/>
        <w:sz w:val="18"/>
      </w:rPr>
      <w:fldChar w:fldCharType="end"/>
    </w:r>
  </w:p>
  <w:p w:rsidR="00055B75" w:rsidRPr="00A95639" w:rsidRDefault="00055B75" w:rsidP="00830CB7">
    <w:pPr>
      <w:pStyle w:val="Footer"/>
      <w:ind w:right="360"/>
      <w:jc w:val="right"/>
      <w:rPr>
        <w:rFonts w:ascii="Arial" w:hAnsi="Arial" w:cs="Arial"/>
        <w:b/>
        <w:color w:val="0070C0"/>
        <w:sz w:val="22"/>
        <w:szCs w:val="22"/>
      </w:rPr>
    </w:pPr>
    <w:r w:rsidRPr="00A95639">
      <w:rPr>
        <w:rFonts w:ascii="Arial" w:hAnsi="Arial" w:cs="Arial"/>
        <w:b/>
        <w:color w:val="0070C0"/>
        <w:sz w:val="22"/>
        <w:szCs w:val="22"/>
      </w:rPr>
      <w:t>The Access Partnership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DEF" w:rsidRDefault="00133DEF">
      <w:r>
        <w:separator/>
      </w:r>
    </w:p>
  </w:footnote>
  <w:footnote w:type="continuationSeparator" w:id="0">
    <w:p w:rsidR="00133DEF" w:rsidRDefault="00133D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75" w:rsidRPr="00A95639" w:rsidRDefault="00055B75" w:rsidP="00830CB7">
    <w:pPr>
      <w:jc w:val="center"/>
      <w:rPr>
        <w:rFonts w:ascii="Arial" w:hAnsi="Arial" w:cs="Arial"/>
        <w:b/>
        <w:color w:val="0070C0"/>
        <w:sz w:val="22"/>
      </w:rPr>
    </w:pPr>
    <w:r w:rsidRPr="00A95639">
      <w:rPr>
        <w:rFonts w:ascii="Calibri" w:hAnsi="Calibri"/>
        <w:b/>
        <w:caps/>
        <w:color w:val="0070C0"/>
        <w:sz w:val="22"/>
      </w:rPr>
      <w:t xml:space="preserve">EXAMPLE business case: to </w:t>
    </w:r>
    <w:r>
      <w:rPr>
        <w:rFonts w:ascii="Calibri" w:hAnsi="Calibri"/>
        <w:b/>
        <w:caps/>
        <w:color w:val="0070C0"/>
        <w:sz w:val="22"/>
      </w:rPr>
      <w:t>ESTABLISH A pHYSIOTHERAPY</w:t>
    </w:r>
    <w:r w:rsidRPr="00A95639">
      <w:rPr>
        <w:rFonts w:ascii="Calibri" w:hAnsi="Calibri"/>
        <w:b/>
        <w:caps/>
        <w:color w:val="0070C0"/>
        <w:sz w:val="22"/>
      </w:rPr>
      <w:t xml:space="preserve"> Back Pain </w:t>
    </w:r>
    <w:r>
      <w:rPr>
        <w:rFonts w:ascii="Calibri" w:hAnsi="Calibri"/>
        <w:b/>
        <w:caps/>
        <w:color w:val="0070C0"/>
        <w:sz w:val="22"/>
      </w:rPr>
      <w:t>PATHWAY</w:t>
    </w:r>
  </w:p>
  <w:p w:rsidR="00055B75" w:rsidRPr="00FA3E10" w:rsidRDefault="00055B75">
    <w:pPr>
      <w:pStyle w:val="Header"/>
      <w:rPr>
        <w:rFonts w:ascii="Arial" w:hAnsi="Arial" w:cs="Arial"/>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7F34"/>
    <w:multiLevelType w:val="hybridMultilevel"/>
    <w:tmpl w:val="7492A23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02F7D75"/>
    <w:multiLevelType w:val="hybridMultilevel"/>
    <w:tmpl w:val="9F2A9C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7775E36"/>
    <w:multiLevelType w:val="hybridMultilevel"/>
    <w:tmpl w:val="2354CB1E"/>
    <w:lvl w:ilvl="0" w:tplc="B9DEF922">
      <w:start w:val="1"/>
      <w:numFmt w:val="decimal"/>
      <w:lvlText w:val="%1."/>
      <w:lvlJc w:val="left"/>
      <w:pPr>
        <w:ind w:left="360" w:hanging="360"/>
      </w:pPr>
      <w:rPr>
        <w:rFonts w:ascii="Calibri" w:hAnsi="Calibri"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94478AE"/>
    <w:multiLevelType w:val="hybridMultilevel"/>
    <w:tmpl w:val="0F6A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C522A3"/>
    <w:multiLevelType w:val="hybridMultilevel"/>
    <w:tmpl w:val="25F808B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A3B424D"/>
    <w:multiLevelType w:val="hybridMultilevel"/>
    <w:tmpl w:val="950A44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B83510E"/>
    <w:multiLevelType w:val="multilevel"/>
    <w:tmpl w:val="950A44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D0707E9"/>
    <w:multiLevelType w:val="hybridMultilevel"/>
    <w:tmpl w:val="4838E2A2"/>
    <w:lvl w:ilvl="0" w:tplc="FEB02D8C">
      <w:start w:val="1"/>
      <w:numFmt w:val="decimal"/>
      <w:lvlText w:val="%1."/>
      <w:lvlJc w:val="left"/>
      <w:pPr>
        <w:ind w:left="360" w:hanging="360"/>
      </w:pPr>
      <w:rPr>
        <w:rFonts w:ascii="Calibri" w:hAnsi="Calibri"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007181C"/>
    <w:multiLevelType w:val="hybridMultilevel"/>
    <w:tmpl w:val="57DCE68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6A55C9F"/>
    <w:multiLevelType w:val="hybridMultilevel"/>
    <w:tmpl w:val="2CFA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724734"/>
    <w:multiLevelType w:val="hybridMultilevel"/>
    <w:tmpl w:val="3704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9160FF"/>
    <w:multiLevelType w:val="hybridMultilevel"/>
    <w:tmpl w:val="D03C445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42E0104"/>
    <w:multiLevelType w:val="hybridMultilevel"/>
    <w:tmpl w:val="481826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8874383"/>
    <w:multiLevelType w:val="hybridMultilevel"/>
    <w:tmpl w:val="86A6008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8065A0A"/>
    <w:multiLevelType w:val="hybridMultilevel"/>
    <w:tmpl w:val="F13C48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E74054C"/>
    <w:multiLevelType w:val="multilevel"/>
    <w:tmpl w:val="9F2A9C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E96127E"/>
    <w:multiLevelType w:val="hybridMultilevel"/>
    <w:tmpl w:val="3BB84B2C"/>
    <w:lvl w:ilvl="0" w:tplc="08090005">
      <w:start w:val="1"/>
      <w:numFmt w:val="bullet"/>
      <w:lvlText w:val=""/>
      <w:lvlJc w:val="left"/>
      <w:pPr>
        <w:tabs>
          <w:tab w:val="num" w:pos="720"/>
        </w:tabs>
        <w:ind w:left="720" w:hanging="360"/>
      </w:pPr>
      <w:rPr>
        <w:rFonts w:ascii="Wingdings" w:hAnsi="Wingding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9"/>
  </w:num>
  <w:num w:numId="3">
    <w:abstractNumId w:val="2"/>
  </w:num>
  <w:num w:numId="4">
    <w:abstractNumId w:val="7"/>
  </w:num>
  <w:num w:numId="5">
    <w:abstractNumId w:val="10"/>
  </w:num>
  <w:num w:numId="6">
    <w:abstractNumId w:val="1"/>
  </w:num>
  <w:num w:numId="7">
    <w:abstractNumId w:val="15"/>
  </w:num>
  <w:num w:numId="8">
    <w:abstractNumId w:val="13"/>
  </w:num>
  <w:num w:numId="9">
    <w:abstractNumId w:val="12"/>
  </w:num>
  <w:num w:numId="10">
    <w:abstractNumId w:val="5"/>
  </w:num>
  <w:num w:numId="11">
    <w:abstractNumId w:val="6"/>
  </w:num>
  <w:num w:numId="12">
    <w:abstractNumId w:val="8"/>
  </w:num>
  <w:num w:numId="13">
    <w:abstractNumId w:val="16"/>
  </w:num>
  <w:num w:numId="14">
    <w:abstractNumId w:val="4"/>
  </w:num>
  <w:num w:numId="15">
    <w:abstractNumId w:val="0"/>
  </w:num>
  <w:num w:numId="16">
    <w:abstractNumId w:val="1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0CB7"/>
    <w:rsid w:val="00055B75"/>
    <w:rsid w:val="0008379E"/>
    <w:rsid w:val="0008637B"/>
    <w:rsid w:val="000B0762"/>
    <w:rsid w:val="000B5DB3"/>
    <w:rsid w:val="000C6348"/>
    <w:rsid w:val="000D29D3"/>
    <w:rsid w:val="00133DEF"/>
    <w:rsid w:val="001A2BFD"/>
    <w:rsid w:val="001A5339"/>
    <w:rsid w:val="001B38BA"/>
    <w:rsid w:val="0030224F"/>
    <w:rsid w:val="00374913"/>
    <w:rsid w:val="003926F2"/>
    <w:rsid w:val="00397489"/>
    <w:rsid w:val="003E1118"/>
    <w:rsid w:val="00444B12"/>
    <w:rsid w:val="004579F9"/>
    <w:rsid w:val="004C5706"/>
    <w:rsid w:val="004F3CE6"/>
    <w:rsid w:val="00507504"/>
    <w:rsid w:val="00512E84"/>
    <w:rsid w:val="005452A2"/>
    <w:rsid w:val="00547537"/>
    <w:rsid w:val="0056309A"/>
    <w:rsid w:val="00574054"/>
    <w:rsid w:val="00580754"/>
    <w:rsid w:val="00616B5E"/>
    <w:rsid w:val="006461B3"/>
    <w:rsid w:val="00674E17"/>
    <w:rsid w:val="00690303"/>
    <w:rsid w:val="006A17BA"/>
    <w:rsid w:val="0070037A"/>
    <w:rsid w:val="0071151B"/>
    <w:rsid w:val="00734E6F"/>
    <w:rsid w:val="007414EE"/>
    <w:rsid w:val="00741E67"/>
    <w:rsid w:val="0075631F"/>
    <w:rsid w:val="007648BD"/>
    <w:rsid w:val="008029D4"/>
    <w:rsid w:val="0081742E"/>
    <w:rsid w:val="00830CB7"/>
    <w:rsid w:val="008347E3"/>
    <w:rsid w:val="00861DA3"/>
    <w:rsid w:val="008820AA"/>
    <w:rsid w:val="008A7111"/>
    <w:rsid w:val="008E38A9"/>
    <w:rsid w:val="009043FC"/>
    <w:rsid w:val="0093250D"/>
    <w:rsid w:val="009444F6"/>
    <w:rsid w:val="00991024"/>
    <w:rsid w:val="009C5764"/>
    <w:rsid w:val="00A135DB"/>
    <w:rsid w:val="00A52E48"/>
    <w:rsid w:val="00A82F06"/>
    <w:rsid w:val="00A93343"/>
    <w:rsid w:val="00AC2CB6"/>
    <w:rsid w:val="00AC4EB8"/>
    <w:rsid w:val="00AD0C7E"/>
    <w:rsid w:val="00AE4C83"/>
    <w:rsid w:val="00B1315C"/>
    <w:rsid w:val="00B32366"/>
    <w:rsid w:val="00B72F94"/>
    <w:rsid w:val="00C53965"/>
    <w:rsid w:val="00C84E07"/>
    <w:rsid w:val="00CC0F17"/>
    <w:rsid w:val="00DA5412"/>
    <w:rsid w:val="00DD15CC"/>
    <w:rsid w:val="00E075BC"/>
    <w:rsid w:val="00EB3215"/>
    <w:rsid w:val="00F908FA"/>
    <w:rsid w:val="00FD0EA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0C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CB7"/>
    <w:pPr>
      <w:tabs>
        <w:tab w:val="center" w:pos="4153"/>
        <w:tab w:val="right" w:pos="8306"/>
      </w:tabs>
    </w:pPr>
  </w:style>
  <w:style w:type="paragraph" w:styleId="Footer">
    <w:name w:val="footer"/>
    <w:basedOn w:val="Normal"/>
    <w:rsid w:val="00830CB7"/>
    <w:pPr>
      <w:tabs>
        <w:tab w:val="center" w:pos="4153"/>
        <w:tab w:val="right" w:pos="8306"/>
      </w:tabs>
    </w:pPr>
  </w:style>
  <w:style w:type="character" w:styleId="PageNumber">
    <w:name w:val="page number"/>
    <w:basedOn w:val="DefaultParagraphFont"/>
    <w:rsid w:val="00830CB7"/>
  </w:style>
  <w:style w:type="paragraph" w:customStyle="1" w:styleId="JCPCTbody">
    <w:name w:val="JCPCT body"/>
    <w:basedOn w:val="Normal"/>
    <w:rsid w:val="00830CB7"/>
    <w:pPr>
      <w:spacing w:after="240"/>
    </w:pPr>
    <w:rPr>
      <w:rFonts w:ascii="Arial" w:hAnsi="Arial"/>
      <w:sz w:val="22"/>
    </w:rPr>
  </w:style>
  <w:style w:type="paragraph" w:styleId="BodyTextIndent">
    <w:name w:val="Body Text Indent"/>
    <w:basedOn w:val="Normal"/>
    <w:link w:val="BodyTextIndentChar"/>
    <w:semiHidden/>
    <w:rsid w:val="00830CB7"/>
    <w:pPr>
      <w:spacing w:before="120"/>
      <w:ind w:left="720"/>
    </w:pPr>
    <w:rPr>
      <w:lang w:eastAsia="en-US"/>
    </w:rPr>
  </w:style>
  <w:style w:type="character" w:customStyle="1" w:styleId="BodyTextIndentChar">
    <w:name w:val="Body Text Indent Char"/>
    <w:basedOn w:val="DefaultParagraphFont"/>
    <w:link w:val="BodyTextIndent"/>
    <w:semiHidden/>
    <w:rsid w:val="00830CB7"/>
    <w:rPr>
      <w:sz w:val="24"/>
      <w:szCs w:val="24"/>
      <w:lang w:val="en-GB" w:eastAsia="en-US" w:bidi="ar-SA"/>
    </w:rPr>
  </w:style>
  <w:style w:type="character" w:styleId="Hyperlink">
    <w:name w:val="Hyperlink"/>
    <w:basedOn w:val="DefaultParagraphFont"/>
    <w:unhideWhenUsed/>
    <w:rsid w:val="00830C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gov.uk/en/Publicationsandstatistics/Publications/PublicationsPolicyAndGuidance/DH_08582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h.gov.uk/en/Publicationsandstatistics/Publications/PublicationsPolicyAndGuidance/DH_117353"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h.gov.uk/en/Aboutus/Resear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ainrelieffoundation.org.uk/docs/essaywinner2009" TargetMode="External"/><Relationship Id="rId4" Type="http://schemas.openxmlformats.org/officeDocument/2006/relationships/webSettings" Target="webSettings.xml"/><Relationship Id="rId9" Type="http://schemas.openxmlformats.org/officeDocument/2006/relationships/hyperlink" Target="http://www.nice.org.uk/CG88fullguidelin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2157</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[Provider name]</vt:lpstr>
    </vt:vector>
  </TitlesOfParts>
  <Company>Nhs Lanarkshire</Company>
  <LinksUpToDate>false</LinksUpToDate>
  <CharactersWithSpaces>15189</CharactersWithSpaces>
  <SharedDoc>false</SharedDoc>
  <HLinks>
    <vt:vector size="30" baseType="variant">
      <vt:variant>
        <vt:i4>5636119</vt:i4>
      </vt:variant>
      <vt:variant>
        <vt:i4>12</vt:i4>
      </vt:variant>
      <vt:variant>
        <vt:i4>0</vt:i4>
      </vt:variant>
      <vt:variant>
        <vt:i4>5</vt:i4>
      </vt:variant>
      <vt:variant>
        <vt:lpwstr>http://www.dh.gov.uk/en/Aboutus/Research</vt:lpwstr>
      </vt:variant>
      <vt:variant>
        <vt:lpwstr/>
      </vt:variant>
      <vt:variant>
        <vt:i4>7864374</vt:i4>
      </vt:variant>
      <vt:variant>
        <vt:i4>9</vt:i4>
      </vt:variant>
      <vt:variant>
        <vt:i4>0</vt:i4>
      </vt:variant>
      <vt:variant>
        <vt:i4>5</vt:i4>
      </vt:variant>
      <vt:variant>
        <vt:lpwstr>http://www.painrelieffoundation.org.uk/docs/essaywinner2009</vt:lpwstr>
      </vt:variant>
      <vt:variant>
        <vt:lpwstr/>
      </vt:variant>
      <vt:variant>
        <vt:i4>589915</vt:i4>
      </vt:variant>
      <vt:variant>
        <vt:i4>6</vt:i4>
      </vt:variant>
      <vt:variant>
        <vt:i4>0</vt:i4>
      </vt:variant>
      <vt:variant>
        <vt:i4>5</vt:i4>
      </vt:variant>
      <vt:variant>
        <vt:lpwstr>http://www.nice.org.uk/CG88fullguideline</vt:lpwstr>
      </vt:variant>
      <vt:variant>
        <vt:lpwstr/>
      </vt:variant>
      <vt:variant>
        <vt:i4>6225953</vt:i4>
      </vt:variant>
      <vt:variant>
        <vt:i4>3</vt:i4>
      </vt:variant>
      <vt:variant>
        <vt:i4>0</vt:i4>
      </vt:variant>
      <vt:variant>
        <vt:i4>5</vt:i4>
      </vt:variant>
      <vt:variant>
        <vt:lpwstr>http://www.dh.gov.uk/en/Publicationsandstatistics/Publications/PublicationsPolicyAndGuidance/DH_085825</vt:lpwstr>
      </vt:variant>
      <vt:variant>
        <vt:lpwstr/>
      </vt:variant>
      <vt:variant>
        <vt:i4>5963813</vt:i4>
      </vt:variant>
      <vt:variant>
        <vt:i4>0</vt:i4>
      </vt:variant>
      <vt:variant>
        <vt:i4>0</vt:i4>
      </vt:variant>
      <vt:variant>
        <vt:i4>5</vt:i4>
      </vt:variant>
      <vt:variant>
        <vt:lpwstr>http://www.dh.gov.uk/en/Publicationsandstatistics/Publications/PublicationsPolicyAndGuidance/DH_117353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name]</dc:title>
  <dc:creator>crees</dc:creator>
  <cp:lastModifiedBy>Andrea Peace</cp:lastModifiedBy>
  <cp:revision>2</cp:revision>
  <cp:lastPrinted>2011-01-17T12:48:00Z</cp:lastPrinted>
  <dcterms:created xsi:type="dcterms:W3CDTF">2012-06-21T17:18:00Z</dcterms:created>
  <dcterms:modified xsi:type="dcterms:W3CDTF">2012-06-21T17:18:00Z</dcterms:modified>
</cp:coreProperties>
</file>